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9C751" w14:textId="77777777" w:rsidR="005D0ECA" w:rsidRDefault="00D60FC6" w:rsidP="00D60FC6">
      <w:pPr>
        <w:jc w:val="center"/>
      </w:pPr>
      <w:r w:rsidRPr="00D60FC6">
        <w:rPr>
          <w:noProof/>
        </w:rPr>
        <w:drawing>
          <wp:anchor distT="0" distB="0" distL="114300" distR="114300" simplePos="0" relativeHeight="251659264" behindDoc="1" locked="0" layoutInCell="1" allowOverlap="1" wp14:anchorId="7843ECF8" wp14:editId="790D2707">
            <wp:simplePos x="0" y="0"/>
            <wp:positionH relativeFrom="column">
              <wp:posOffset>2959100</wp:posOffset>
            </wp:positionH>
            <wp:positionV relativeFrom="paragraph">
              <wp:posOffset>-45085</wp:posOffset>
            </wp:positionV>
            <wp:extent cx="937880" cy="956930"/>
            <wp:effectExtent l="19050" t="0" r="0" b="0"/>
            <wp:wrapNone/>
            <wp:docPr id="7" name="Picture 7" descr="State-Seal-Blue---BEST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tate-Seal-Blue---BEST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7880" cy="956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6D049C4" w14:textId="77777777" w:rsidR="00D60FC6" w:rsidRDefault="00D60FC6" w:rsidP="00D60FC6">
      <w:pPr>
        <w:pStyle w:val="BodyText"/>
        <w:rPr>
          <w:b w:val="0"/>
          <w:color w:val="00197D"/>
        </w:rPr>
      </w:pPr>
    </w:p>
    <w:p w14:paraId="70F3C413" w14:textId="77777777" w:rsidR="00D60FC6" w:rsidRDefault="00D60FC6" w:rsidP="00B65A52">
      <w:pPr>
        <w:pStyle w:val="BodyText"/>
        <w:jc w:val="left"/>
        <w:rPr>
          <w:b w:val="0"/>
          <w:color w:val="00197D"/>
        </w:rPr>
      </w:pPr>
    </w:p>
    <w:p w14:paraId="52B608FC" w14:textId="77777777" w:rsidR="00D60FC6" w:rsidRPr="00D60FC6" w:rsidRDefault="00D60FC6" w:rsidP="00D60FC6">
      <w:pPr>
        <w:pStyle w:val="BodyText"/>
        <w:rPr>
          <w:b w:val="0"/>
          <w:color w:val="00197D"/>
          <w:sz w:val="14"/>
          <w:szCs w:val="14"/>
        </w:rPr>
      </w:pPr>
    </w:p>
    <w:p w14:paraId="2C837D98" w14:textId="77777777" w:rsidR="00D60FC6" w:rsidRPr="007469E7" w:rsidRDefault="00D60FC6" w:rsidP="00D60FC6">
      <w:pPr>
        <w:pStyle w:val="BodyText"/>
        <w:rPr>
          <w:rFonts w:ascii="Times New Roman" w:hAnsi="Times New Roman"/>
          <w:b w:val="0"/>
          <w:color w:val="00197D"/>
          <w:sz w:val="10"/>
          <w:szCs w:val="10"/>
        </w:rPr>
      </w:pPr>
      <w:r w:rsidRPr="00D60FC6">
        <w:rPr>
          <w:rFonts w:ascii="Times New Roman" w:hAnsi="Times New Roman"/>
          <w:b w:val="0"/>
          <w:color w:val="00197D"/>
        </w:rPr>
        <w:t>COMMONWEALTH of VIRGINIA</w:t>
      </w:r>
      <w:r w:rsidR="007469E7">
        <w:rPr>
          <w:rFonts w:ascii="Times New Roman" w:hAnsi="Times New Roman"/>
          <w:b w:val="0"/>
          <w:color w:val="00197D"/>
        </w:rPr>
        <w:br/>
      </w:r>
    </w:p>
    <w:p w14:paraId="4B760616" w14:textId="77777777" w:rsidR="006E7E9D" w:rsidRDefault="006E7E9D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  <w:sectPr w:rsidR="006E7E9D" w:rsidSect="00D60FC6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9D459FB" w14:textId="77777777" w:rsidR="006E7E9D" w:rsidRPr="00D60FC6" w:rsidRDefault="00B060D7" w:rsidP="006E7E9D">
      <w:pPr>
        <w:widowControl w:val="0"/>
        <w:spacing w:line="-151" w:lineRule="auto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>
        <w:rPr>
          <w:rFonts w:ascii="Times New Roman" w:hAnsi="Times New Roman" w:cs="Times New Roman"/>
          <w:caps/>
          <w:color w:val="00197D"/>
          <w:sz w:val="14"/>
          <w:szCs w:val="14"/>
        </w:rPr>
        <w:t>NELSON SMITH</w:t>
      </w:r>
      <w:r w:rsidR="006E7E9D">
        <w:rPr>
          <w:rFonts w:ascii="Times New Roman" w:hAnsi="Times New Roman" w:cs="Times New Roman"/>
          <w:color w:val="00197D"/>
          <w:sz w:val="14"/>
          <w:szCs w:val="14"/>
        </w:rPr>
        <w:br/>
      </w:r>
      <w:r w:rsidR="006E7E9D" w:rsidRPr="00D60FC6">
        <w:rPr>
          <w:rFonts w:ascii="Times New Roman" w:hAnsi="Times New Roman" w:cs="Times New Roman"/>
          <w:color w:val="00197D"/>
          <w:sz w:val="14"/>
          <w:szCs w:val="14"/>
        </w:rPr>
        <w:t xml:space="preserve"> COMMISSIONER</w:t>
      </w:r>
    </w:p>
    <w:p w14:paraId="328C9972" w14:textId="77777777" w:rsidR="006E7E9D" w:rsidRDefault="006E7E9D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i/>
          <w:color w:val="00197D"/>
          <w:sz w:val="14"/>
          <w:szCs w:val="14"/>
        </w:rPr>
      </w:pPr>
    </w:p>
    <w:p w14:paraId="56E78B25" w14:textId="77777777" w:rsidR="00D60FC6" w:rsidRDefault="00D60FC6" w:rsidP="00D60FC6">
      <w:pPr>
        <w:widowControl w:val="0"/>
        <w:spacing w:line="287" w:lineRule="auto"/>
        <w:jc w:val="center"/>
        <w:rPr>
          <w:rFonts w:ascii="Times New Roman" w:hAnsi="Times New Roman" w:cs="Times New Roman"/>
          <w:color w:val="00197D"/>
          <w:sz w:val="16"/>
        </w:rPr>
      </w:pPr>
      <w:r w:rsidRPr="00D60FC6">
        <w:rPr>
          <w:rFonts w:ascii="Times New Roman" w:hAnsi="Times New Roman" w:cs="Times New Roman"/>
          <w:i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DEPARTMENT OF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i/>
          <w:color w:val="00197D"/>
          <w:sz w:val="20"/>
        </w:rPr>
        <w:t>BEHAVIORAL HEALTH AND DEVELOPMENTAL SERVICES</w:t>
      </w:r>
      <w:r>
        <w:rPr>
          <w:rFonts w:ascii="Times New Roman" w:hAnsi="Times New Roman" w:cs="Times New Roman"/>
          <w:i/>
          <w:color w:val="00197D"/>
          <w:sz w:val="20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Post Office Box 1797</w:t>
      </w:r>
      <w:r>
        <w:rPr>
          <w:rFonts w:ascii="Times New Roman" w:hAnsi="Times New Roman" w:cs="Times New Roman"/>
          <w:color w:val="00197D"/>
          <w:sz w:val="16"/>
        </w:rPr>
        <w:br/>
      </w:r>
      <w:r w:rsidRPr="00D60FC6">
        <w:rPr>
          <w:rFonts w:ascii="Times New Roman" w:hAnsi="Times New Roman" w:cs="Times New Roman"/>
          <w:color w:val="00197D"/>
          <w:sz w:val="16"/>
        </w:rPr>
        <w:t>Richmond, Virginia   23218-1797</w:t>
      </w:r>
    </w:p>
    <w:p w14:paraId="0BD1F764" w14:textId="77777777" w:rsidR="00D60FC6" w:rsidRPr="00D60FC6" w:rsidRDefault="00D60FC6" w:rsidP="00D60FC6">
      <w:pPr>
        <w:widowControl w:val="0"/>
        <w:jc w:val="center"/>
        <w:rPr>
          <w:rFonts w:ascii="Times New Roman" w:hAnsi="Times New Roman" w:cs="Times New Roman"/>
          <w:color w:val="00197D"/>
          <w:sz w:val="14"/>
          <w:szCs w:val="14"/>
        </w:rPr>
      </w:pPr>
      <w:r w:rsidRPr="00D60FC6">
        <w:rPr>
          <w:rFonts w:ascii="Times New Roman" w:hAnsi="Times New Roman" w:cs="Times New Roman"/>
          <w:color w:val="00197D"/>
          <w:sz w:val="14"/>
          <w:szCs w:val="14"/>
        </w:rPr>
        <w:t>Telephone (804) 786-3921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Fax (804) 371-6638</w:t>
      </w:r>
      <w:r>
        <w:rPr>
          <w:rFonts w:ascii="Times New Roman" w:hAnsi="Times New Roman" w:cs="Times New Roman"/>
          <w:color w:val="00197D"/>
          <w:sz w:val="14"/>
          <w:szCs w:val="14"/>
        </w:rPr>
        <w:br/>
      </w:r>
      <w:r w:rsidRPr="00D60FC6">
        <w:rPr>
          <w:rFonts w:ascii="Times New Roman" w:hAnsi="Times New Roman" w:cs="Times New Roman"/>
          <w:color w:val="00197D"/>
          <w:sz w:val="14"/>
          <w:szCs w:val="14"/>
        </w:rPr>
        <w:t>www.dbhds.virginia.gov</w:t>
      </w:r>
    </w:p>
    <w:p w14:paraId="110C6EDA" w14:textId="77777777" w:rsidR="006E7E9D" w:rsidRDefault="006E7E9D" w:rsidP="00E23305">
      <w:pPr>
        <w:sectPr w:rsidR="006E7E9D" w:rsidSect="006E7E9D">
          <w:type w:val="continuous"/>
          <w:pgSz w:w="12240" w:h="15840"/>
          <w:pgMar w:top="720" w:right="180" w:bottom="720" w:left="180" w:header="720" w:footer="720" w:gutter="0"/>
          <w:cols w:num="3" w:space="823" w:equalWidth="0">
            <w:col w:w="2160" w:space="823"/>
            <w:col w:w="5914" w:space="823"/>
            <w:col w:w="2160"/>
          </w:cols>
          <w:docGrid w:linePitch="360"/>
        </w:sectPr>
      </w:pPr>
    </w:p>
    <w:p w14:paraId="25056B87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2CE521A" w14:textId="1932A31A" w:rsidR="00B65A52" w:rsidRPr="00B65A52" w:rsidRDefault="00B65A52" w:rsidP="00B65A52">
      <w:pPr>
        <w:pStyle w:val="NoSpacing"/>
        <w:ind w:left="2880" w:firstLine="720"/>
        <w:rPr>
          <w:rFonts w:ascii="Times New Roman" w:hAnsi="Times New Roman" w:cs="Times New Roman"/>
          <w:sz w:val="24"/>
          <w:szCs w:val="24"/>
        </w:rPr>
      </w:pPr>
      <w:r w:rsidRPr="00C20CB2">
        <w:rPr>
          <w:rFonts w:ascii="Times New Roman" w:hAnsi="Times New Roman" w:cs="Times New Roman"/>
          <w:sz w:val="24"/>
          <w:szCs w:val="24"/>
        </w:rPr>
        <w:t xml:space="preserve">December </w:t>
      </w:r>
      <w:r w:rsidR="00C20CB2">
        <w:rPr>
          <w:rFonts w:ascii="Times New Roman" w:hAnsi="Times New Roman" w:cs="Times New Roman"/>
          <w:sz w:val="24"/>
          <w:szCs w:val="24"/>
        </w:rPr>
        <w:t>20</w:t>
      </w:r>
      <w:r w:rsidRPr="00C20CB2">
        <w:rPr>
          <w:rFonts w:ascii="Times New Roman" w:hAnsi="Times New Roman" w:cs="Times New Roman"/>
          <w:sz w:val="24"/>
          <w:szCs w:val="24"/>
        </w:rPr>
        <w:t>, 202</w:t>
      </w:r>
      <w:r w:rsidR="00C20CB2" w:rsidRPr="00C20CB2">
        <w:rPr>
          <w:rFonts w:ascii="Times New Roman" w:hAnsi="Times New Roman" w:cs="Times New Roman"/>
          <w:sz w:val="24"/>
          <w:szCs w:val="24"/>
        </w:rPr>
        <w:t>3</w:t>
      </w:r>
    </w:p>
    <w:p w14:paraId="538A792B" w14:textId="4058538F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  </w:t>
      </w:r>
    </w:p>
    <w:p w14:paraId="19839F05" w14:textId="4EBB433E" w:rsidR="0025270F" w:rsidRPr="0025270F" w:rsidRDefault="00B65A52" w:rsidP="0025270F">
      <w:pPr>
        <w:pStyle w:val="paragraph"/>
        <w:spacing w:before="0" w:beforeAutospacing="0" w:after="0" w:afterAutospacing="0"/>
        <w:textAlignment w:val="baseline"/>
        <w:rPr>
          <w:rStyle w:val="normaltextrun"/>
          <w:color w:val="FF0000"/>
        </w:rPr>
      </w:pPr>
      <w:r w:rsidRPr="00B65A52">
        <w:t xml:space="preserve">The information provided in this Memo relates to licensed provider </w:t>
      </w:r>
      <w:r w:rsidR="00E23305">
        <w:t>r</w:t>
      </w:r>
      <w:r w:rsidR="00E23305" w:rsidRPr="00B65A52">
        <w:t xml:space="preserve">eporting </w:t>
      </w:r>
      <w:r w:rsidR="00E23305">
        <w:t>of a</w:t>
      </w:r>
      <w:r w:rsidR="00E23305" w:rsidRPr="00B65A52">
        <w:t xml:space="preserve">nnual </w:t>
      </w:r>
      <w:r w:rsidR="00E23305">
        <w:t>s</w:t>
      </w:r>
      <w:r w:rsidR="00E23305" w:rsidRPr="00B65A52">
        <w:t xml:space="preserve">eclusion and </w:t>
      </w:r>
      <w:r w:rsidR="00E23305">
        <w:t>r</w:t>
      </w:r>
      <w:r w:rsidR="00E23305" w:rsidRPr="00B65A52">
        <w:t xml:space="preserve">estraint </w:t>
      </w:r>
      <w:r w:rsidR="00E23305" w:rsidRPr="006540AF">
        <w:t xml:space="preserve">information </w:t>
      </w:r>
      <w:r w:rsidR="00E23305" w:rsidRPr="006540AF">
        <w:rPr>
          <w:b/>
          <w:bCs/>
        </w:rPr>
        <w:t xml:space="preserve">for </w:t>
      </w:r>
      <w:r w:rsidR="006540AF" w:rsidRPr="006540AF">
        <w:rPr>
          <w:b/>
          <w:bCs/>
        </w:rPr>
        <w:t>each licensed service</w:t>
      </w:r>
      <w:r w:rsidR="006540AF" w:rsidRPr="006540AF">
        <w:t>, for C</w:t>
      </w:r>
      <w:r w:rsidR="0025270F" w:rsidRPr="006540AF">
        <w:t xml:space="preserve">alendar </w:t>
      </w:r>
      <w:r w:rsidR="006540AF" w:rsidRPr="006540AF">
        <w:t>Y</w:t>
      </w:r>
      <w:r w:rsidR="0025270F" w:rsidRPr="006540AF">
        <w:t xml:space="preserve">ear </w:t>
      </w:r>
      <w:r w:rsidR="00E23305" w:rsidRPr="006540AF">
        <w:t>202</w:t>
      </w:r>
      <w:r w:rsidR="00C20CB2" w:rsidRPr="006540AF">
        <w:t>3</w:t>
      </w:r>
      <w:r w:rsidR="00E23305" w:rsidRPr="006540AF">
        <w:t xml:space="preserve">. </w:t>
      </w:r>
      <w:r w:rsidR="0025270F" w:rsidRPr="006540AF">
        <w:rPr>
          <w:rStyle w:val="normaltextrun"/>
        </w:rPr>
        <w:t>In accordance with 12VAC35-115-230 of the Human Rights Regulations</w:t>
      </w:r>
      <w:bookmarkStart w:id="0" w:name="_Hlk151029530"/>
      <w:r w:rsidR="0025270F" w:rsidRPr="006540AF">
        <w:rPr>
          <w:rStyle w:val="normaltextrun"/>
        </w:rPr>
        <w:t xml:space="preserve">, licensed providers are required to submit an annual report of each instance of seclusion or restraint, or both </w:t>
      </w:r>
      <w:r w:rsidR="0025270F" w:rsidRPr="00A31471">
        <w:rPr>
          <w:rStyle w:val="normaltextrun"/>
        </w:rPr>
        <w:t>by January 15</w:t>
      </w:r>
      <w:r w:rsidR="0025270F" w:rsidRPr="00A31471">
        <w:rPr>
          <w:rStyle w:val="normaltextrun"/>
          <w:vertAlign w:val="superscript"/>
        </w:rPr>
        <w:t>th</w:t>
      </w:r>
      <w:r w:rsidR="0025270F" w:rsidRPr="00A31471">
        <w:rPr>
          <w:rStyle w:val="normaltextrun"/>
        </w:rPr>
        <w:t xml:space="preserve"> </w:t>
      </w:r>
      <w:r w:rsidR="00C70930" w:rsidRPr="006540AF">
        <w:rPr>
          <w:rStyle w:val="normaltextrun"/>
        </w:rPr>
        <w:t xml:space="preserve">every </w:t>
      </w:r>
      <w:r w:rsidR="0025270F" w:rsidRPr="006540AF">
        <w:rPr>
          <w:rStyle w:val="normaltextrun"/>
        </w:rPr>
        <w:t xml:space="preserve">year. </w:t>
      </w:r>
      <w:r w:rsidR="0025270F" w:rsidRPr="006540AF">
        <w:rPr>
          <w:rStyle w:val="normaltextrun"/>
          <w:bdr w:val="none" w:sz="0" w:space="0" w:color="auto" w:frame="1"/>
        </w:rPr>
        <w:t xml:space="preserve">Failure to submit this information and failure to submit it on time is a violation of the regulations and can result in a </w:t>
      </w:r>
      <w:r w:rsidR="00EC494F">
        <w:rPr>
          <w:rStyle w:val="normaltextrun"/>
          <w:bdr w:val="none" w:sz="0" w:space="0" w:color="auto" w:frame="1"/>
        </w:rPr>
        <w:t>L</w:t>
      </w:r>
      <w:r w:rsidR="0025270F" w:rsidRPr="006540AF">
        <w:rPr>
          <w:rStyle w:val="normaltextrun"/>
          <w:bdr w:val="none" w:sz="0" w:space="0" w:color="auto" w:frame="1"/>
        </w:rPr>
        <w:t>icensing citation. </w:t>
      </w:r>
    </w:p>
    <w:bookmarkEnd w:id="0"/>
    <w:p w14:paraId="50827E70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39396BAD" w14:textId="2596F6AC" w:rsidR="00B65A52" w:rsidRDefault="00E23305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Again,</w:t>
      </w:r>
      <w:r w:rsidR="00B65A52" w:rsidRPr="00B65A52">
        <w:rPr>
          <w:rFonts w:ascii="Times New Roman" w:hAnsi="Times New Roman" w:cs="Times New Roman"/>
          <w:sz w:val="24"/>
          <w:szCs w:val="24"/>
        </w:rPr>
        <w:t xml:space="preserve"> </w:t>
      </w:r>
      <w:r w:rsidR="00B65A52" w:rsidRPr="0025270F">
        <w:rPr>
          <w:rFonts w:ascii="Times New Roman" w:hAnsi="Times New Roman" w:cs="Times New Roman"/>
          <w:sz w:val="24"/>
          <w:szCs w:val="24"/>
        </w:rPr>
        <w:t xml:space="preserve">this year, the Office of Human Rights </w:t>
      </w:r>
      <w:r w:rsidRPr="0025270F">
        <w:rPr>
          <w:rFonts w:ascii="Times New Roman" w:hAnsi="Times New Roman" w:cs="Times New Roman"/>
          <w:sz w:val="24"/>
          <w:szCs w:val="24"/>
        </w:rPr>
        <w:t xml:space="preserve">(OHR) </w:t>
      </w:r>
      <w:r w:rsidR="00B65A52" w:rsidRPr="0025270F">
        <w:rPr>
          <w:rFonts w:ascii="Times New Roman" w:hAnsi="Times New Roman" w:cs="Times New Roman"/>
          <w:sz w:val="24"/>
          <w:szCs w:val="24"/>
        </w:rPr>
        <w:t>will utilize a web-based survey</w:t>
      </w:r>
      <w:r w:rsidR="0025270F" w:rsidRPr="0025270F">
        <w:rPr>
          <w:rFonts w:ascii="Times New Roman" w:hAnsi="Times New Roman" w:cs="Times New Roman"/>
          <w:sz w:val="24"/>
          <w:szCs w:val="24"/>
        </w:rPr>
        <w:t>.</w:t>
      </w:r>
      <w:r w:rsidR="00B65A52" w:rsidRPr="0025270F">
        <w:rPr>
          <w:rFonts w:ascii="Times New Roman" w:hAnsi="Times New Roman" w:cs="Times New Roman"/>
          <w:sz w:val="24"/>
          <w:szCs w:val="24"/>
        </w:rPr>
        <w:t xml:space="preserve"> </w:t>
      </w:r>
      <w:r w:rsidR="0025270F" w:rsidRPr="006540AF">
        <w:rPr>
          <w:rFonts w:ascii="Times New Roman" w:hAnsi="Times New Roman" w:cs="Times New Roman"/>
          <w:sz w:val="24"/>
          <w:szCs w:val="24"/>
        </w:rPr>
        <w:t xml:space="preserve">This survey asks questions relating to if and how often physical, mechanical, </w:t>
      </w:r>
      <w:r w:rsidR="00C70930" w:rsidRPr="006540AF">
        <w:rPr>
          <w:rFonts w:ascii="Times New Roman" w:hAnsi="Times New Roman" w:cs="Times New Roman"/>
          <w:sz w:val="24"/>
          <w:szCs w:val="24"/>
        </w:rPr>
        <w:t xml:space="preserve">and </w:t>
      </w:r>
      <w:r w:rsidR="0025270F" w:rsidRPr="006540AF">
        <w:rPr>
          <w:rFonts w:ascii="Times New Roman" w:hAnsi="Times New Roman" w:cs="Times New Roman"/>
          <w:sz w:val="24"/>
          <w:szCs w:val="24"/>
        </w:rPr>
        <w:t>pharmacological restraint as well as seclusion were used</w:t>
      </w:r>
      <w:r w:rsidR="00C70930" w:rsidRPr="006540AF">
        <w:rPr>
          <w:rFonts w:ascii="Times New Roman" w:hAnsi="Times New Roman" w:cs="Times New Roman"/>
          <w:sz w:val="24"/>
          <w:szCs w:val="24"/>
        </w:rPr>
        <w:t xml:space="preserve">; and </w:t>
      </w:r>
      <w:r w:rsidR="0025270F" w:rsidRPr="006540AF">
        <w:rPr>
          <w:rFonts w:ascii="Times New Roman" w:hAnsi="Times New Roman" w:cs="Times New Roman"/>
          <w:sz w:val="24"/>
          <w:szCs w:val="24"/>
        </w:rPr>
        <w:t>why the provider used those restraint and seclusion methods.</w:t>
      </w:r>
      <w:r w:rsidR="0025270F" w:rsidRPr="006540AF">
        <w:t xml:space="preserve"> </w:t>
      </w:r>
      <w:r w:rsidR="006540AF">
        <w:rPr>
          <w:rFonts w:ascii="Times New Roman" w:hAnsi="Times New Roman" w:cs="Times New Roman"/>
          <w:sz w:val="24"/>
          <w:szCs w:val="24"/>
        </w:rPr>
        <w:t>P</w:t>
      </w:r>
      <w:r w:rsidR="00B65A52" w:rsidRPr="00B65A52">
        <w:rPr>
          <w:rFonts w:ascii="Times New Roman" w:hAnsi="Times New Roman" w:cs="Times New Roman"/>
          <w:sz w:val="24"/>
          <w:szCs w:val="24"/>
        </w:rPr>
        <w:t xml:space="preserve">roviders are being asked to enter </w:t>
      </w:r>
      <w:r w:rsidR="00B65A52" w:rsidRPr="00B65A52">
        <w:rPr>
          <w:rFonts w:ascii="Times New Roman" w:hAnsi="Times New Roman" w:cs="Times New Roman"/>
          <w:b/>
          <w:bCs/>
          <w:sz w:val="24"/>
          <w:szCs w:val="24"/>
        </w:rPr>
        <w:t>cumulative data</w:t>
      </w:r>
      <w:r w:rsidR="00B65A52" w:rsidRPr="00B65A52">
        <w:rPr>
          <w:rFonts w:ascii="Times New Roman" w:hAnsi="Times New Roman" w:cs="Times New Roman"/>
          <w:sz w:val="24"/>
          <w:szCs w:val="24"/>
        </w:rPr>
        <w:t xml:space="preserve">, for the total number of unique instances of restraint </w:t>
      </w:r>
      <w:r w:rsidR="006540AF">
        <w:rPr>
          <w:rFonts w:ascii="Times New Roman" w:hAnsi="Times New Roman" w:cs="Times New Roman"/>
          <w:sz w:val="24"/>
          <w:szCs w:val="24"/>
        </w:rPr>
        <w:t xml:space="preserve">and seclusion </w:t>
      </w:r>
      <w:r w:rsidR="00B65A52" w:rsidRPr="00B65A52">
        <w:rPr>
          <w:rFonts w:ascii="Times New Roman" w:hAnsi="Times New Roman" w:cs="Times New Roman"/>
          <w:sz w:val="24"/>
          <w:szCs w:val="24"/>
        </w:rPr>
        <w:t>or both between January 1 and December 31, 202</w:t>
      </w:r>
      <w:r w:rsidR="00C20CB2">
        <w:rPr>
          <w:rFonts w:ascii="Times New Roman" w:hAnsi="Times New Roman" w:cs="Times New Roman"/>
          <w:sz w:val="24"/>
          <w:szCs w:val="24"/>
        </w:rPr>
        <w:t>3</w:t>
      </w:r>
      <w:r w:rsidR="00B65A52" w:rsidRPr="00B65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E48F48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34F8138A" w14:textId="77777777" w:rsidR="006D5B16" w:rsidRDefault="006D5B16" w:rsidP="00601653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1" w:name="_Hlk153526898"/>
      <w:r w:rsidRPr="00EC494F">
        <w:rPr>
          <w:rFonts w:ascii="Times New Roman" w:hAnsi="Times New Roman" w:cs="Times New Roman"/>
          <w:sz w:val="24"/>
          <w:szCs w:val="24"/>
        </w:rPr>
        <w:t>Beginning at 11:59PM on December 31</w:t>
      </w:r>
      <w:r w:rsidRPr="00EC494F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Pr="00EC494F">
        <w:rPr>
          <w:rFonts w:ascii="Times New Roman" w:hAnsi="Times New Roman" w:cs="Times New Roman"/>
          <w:sz w:val="24"/>
          <w:szCs w:val="24"/>
        </w:rPr>
        <w:t>, licensed providers can access the survey using this link</w:t>
      </w:r>
      <w:r w:rsidRPr="006B0781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tgtFrame="_blank" w:history="1">
        <w:r w:rsidRPr="006B0781">
          <w:rPr>
            <w:rFonts w:ascii="Times New Roman" w:hAnsi="Times New Roman" w:cs="Times New Roman"/>
            <w:color w:val="0000FF"/>
            <w:sz w:val="24"/>
            <w:szCs w:val="24"/>
            <w:highlight w:val="yellow"/>
            <w:u w:val="single"/>
            <w:bdr w:val="none" w:sz="0" w:space="0" w:color="auto" w:frame="1"/>
          </w:rPr>
          <w:t>https://virginiadbhds.az1.qualtrics.com/jfe/form/SV_bpfoNyqCvjzB7V4</w:t>
        </w:r>
      </w:hyperlink>
      <w:bookmarkEnd w:id="1"/>
      <w:r>
        <w:rPr>
          <w:rFonts w:ascii="Times New Roman" w:hAnsi="Times New Roman" w:cs="Times New Roman"/>
          <w:sz w:val="24"/>
          <w:szCs w:val="24"/>
        </w:rPr>
        <w:t>.</w:t>
      </w:r>
      <w:r w:rsidR="00C20CB2" w:rsidRPr="00EC494F">
        <w:rPr>
          <w:rFonts w:ascii="Times New Roman" w:hAnsi="Times New Roman" w:cs="Times New Roman"/>
          <w:sz w:val="24"/>
          <w:szCs w:val="24"/>
        </w:rPr>
        <w:t> </w:t>
      </w:r>
      <w:r w:rsidR="006B0781" w:rsidRPr="006B0781">
        <w:rPr>
          <w:rFonts w:ascii="Times New Roman" w:hAnsi="Times New Roman" w:cs="Times New Roman"/>
          <w:sz w:val="24"/>
          <w:szCs w:val="24"/>
        </w:rPr>
        <w:t>The survey will close</w:t>
      </w:r>
      <w:r w:rsidR="006B0781">
        <w:rPr>
          <w:rFonts w:ascii="Times New Roman" w:hAnsi="Times New Roman" w:cs="Times New Roman"/>
          <w:sz w:val="24"/>
          <w:szCs w:val="24"/>
        </w:rPr>
        <w:t xml:space="preserve"> </w:t>
      </w:r>
      <w:r w:rsidR="006B0781" w:rsidRPr="006B0781">
        <w:rPr>
          <w:rFonts w:ascii="Times New Roman" w:hAnsi="Times New Roman" w:cs="Times New Roman"/>
          <w:sz w:val="24"/>
          <w:szCs w:val="24"/>
        </w:rPr>
        <w:t xml:space="preserve">and become unavailable for </w:t>
      </w:r>
      <w:r>
        <w:rPr>
          <w:rFonts w:ascii="Times New Roman" w:hAnsi="Times New Roman" w:cs="Times New Roman"/>
          <w:sz w:val="24"/>
          <w:szCs w:val="24"/>
        </w:rPr>
        <w:t>data entry</w:t>
      </w:r>
      <w:r w:rsidR="006B0781" w:rsidRPr="006B0781">
        <w:rPr>
          <w:rFonts w:ascii="Times New Roman" w:hAnsi="Times New Roman" w:cs="Times New Roman"/>
          <w:sz w:val="24"/>
          <w:szCs w:val="24"/>
        </w:rPr>
        <w:t xml:space="preserve"> on January 20th at 11:59PM</w:t>
      </w:r>
      <w:r w:rsidR="006B0781">
        <w:rPr>
          <w:rFonts w:ascii="Times New Roman" w:hAnsi="Times New Roman" w:cs="Times New Roman"/>
          <w:sz w:val="24"/>
          <w:szCs w:val="24"/>
        </w:rPr>
        <w:t xml:space="preserve">. </w:t>
      </w:r>
      <w:r w:rsidRPr="005E509D">
        <w:rPr>
          <w:rFonts w:ascii="Times New Roman" w:hAnsi="Times New Roman" w:cs="Times New Roman"/>
          <w:b/>
          <w:bCs/>
          <w:sz w:val="24"/>
          <w:szCs w:val="24"/>
        </w:rPr>
        <w:t>Providers with zero instances of restraint or seclusion must still complete the survey, indicating zero instances.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0781">
        <w:rPr>
          <w:rFonts w:ascii="Times New Roman" w:hAnsi="Times New Roman" w:cs="Times New Roman"/>
          <w:sz w:val="24"/>
          <w:szCs w:val="24"/>
        </w:rPr>
        <w:t xml:space="preserve">Providers with more than one licensed service should </w:t>
      </w:r>
      <w:r w:rsidR="006B0781" w:rsidRPr="00B65A52">
        <w:rPr>
          <w:rFonts w:ascii="Times New Roman" w:hAnsi="Times New Roman" w:cs="Times New Roman"/>
          <w:sz w:val="24"/>
          <w:szCs w:val="24"/>
        </w:rPr>
        <w:t>click the blue hyperlink text to start another survey for a different service type.</w:t>
      </w:r>
      <w:r w:rsidR="00601653" w:rsidRPr="00601653">
        <w:rPr>
          <w:rFonts w:ascii="Times New Roman" w:hAnsi="Times New Roman" w:cs="Times New Roman"/>
          <w:sz w:val="24"/>
          <w:szCs w:val="24"/>
        </w:rPr>
        <w:t xml:space="preserve"> </w:t>
      </w:r>
      <w:r w:rsidRPr="00B65A52">
        <w:rPr>
          <w:rFonts w:ascii="Times New Roman" w:hAnsi="Times New Roman" w:cs="Times New Roman"/>
          <w:sz w:val="24"/>
          <w:szCs w:val="24"/>
        </w:rPr>
        <w:t xml:space="preserve">After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65A52">
        <w:rPr>
          <w:rFonts w:ascii="Times New Roman" w:hAnsi="Times New Roman" w:cs="Times New Roman"/>
          <w:sz w:val="24"/>
          <w:szCs w:val="24"/>
        </w:rPr>
        <w:t xml:space="preserve"> survey</w:t>
      </w:r>
      <w:r>
        <w:rPr>
          <w:rFonts w:ascii="Times New Roman" w:hAnsi="Times New Roman" w:cs="Times New Roman"/>
          <w:sz w:val="24"/>
          <w:szCs w:val="24"/>
        </w:rPr>
        <w:t xml:space="preserve"> is</w:t>
      </w:r>
      <w:r w:rsidRPr="00B65A52">
        <w:rPr>
          <w:rFonts w:ascii="Times New Roman" w:hAnsi="Times New Roman" w:cs="Times New Roman"/>
          <w:sz w:val="24"/>
          <w:szCs w:val="24"/>
        </w:rPr>
        <w:t xml:space="preserve"> submitted, providers </w:t>
      </w:r>
      <w:r>
        <w:rPr>
          <w:rFonts w:ascii="Times New Roman" w:hAnsi="Times New Roman" w:cs="Times New Roman"/>
          <w:sz w:val="24"/>
          <w:szCs w:val="24"/>
        </w:rPr>
        <w:t>can</w:t>
      </w:r>
      <w:r w:rsidRPr="00B65A52">
        <w:rPr>
          <w:rFonts w:ascii="Times New Roman" w:hAnsi="Times New Roman" w:cs="Times New Roman"/>
          <w:sz w:val="24"/>
          <w:szCs w:val="24"/>
        </w:rPr>
        <w:t xml:space="preserve"> print an image of the confirmation screen for their records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30268E" w14:textId="77777777" w:rsidR="006D5B16" w:rsidRDefault="006D5B16" w:rsidP="0060165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D08E659" w14:textId="2C125413" w:rsidR="00601653" w:rsidRDefault="00601653" w:rsidP="0060165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 xml:space="preserve">Refer to the regulatory reporting requirements and definitions </w:t>
      </w:r>
      <w:r>
        <w:rPr>
          <w:rFonts w:ascii="Times New Roman" w:hAnsi="Times New Roman" w:cs="Times New Roman"/>
          <w:sz w:val="24"/>
          <w:szCs w:val="24"/>
        </w:rPr>
        <w:t xml:space="preserve">in the </w:t>
      </w:r>
      <w:hyperlink r:id="rId7" w:history="1">
        <w:r w:rsidRPr="00B65A52">
          <w:rPr>
            <w:rStyle w:val="Hyperlink"/>
            <w:rFonts w:ascii="Times New Roman" w:hAnsi="Times New Roman" w:cs="Times New Roman"/>
            <w:sz w:val="24"/>
            <w:szCs w:val="24"/>
          </w:rPr>
          <w:t>Human Rights Regulations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2784F">
        <w:rPr>
          <w:rFonts w:ascii="Times New Roman" w:hAnsi="Times New Roman" w:cs="Times New Roman"/>
          <w:sz w:val="24"/>
          <w:szCs w:val="24"/>
        </w:rPr>
        <w:t xml:space="preserve">(and included below) </w:t>
      </w:r>
      <w:r w:rsidRPr="00B65A52">
        <w:rPr>
          <w:rFonts w:ascii="Times New Roman" w:hAnsi="Times New Roman" w:cs="Times New Roman"/>
          <w:sz w:val="24"/>
          <w:szCs w:val="24"/>
        </w:rPr>
        <w:t>to ensure you are providing the required, accurate information. A</w:t>
      </w:r>
      <w:r w:rsidR="004361E0">
        <w:rPr>
          <w:rFonts w:ascii="Times New Roman" w:hAnsi="Times New Roman" w:cs="Times New Roman"/>
          <w:sz w:val="24"/>
          <w:szCs w:val="24"/>
        </w:rPr>
        <w:t>dditionally, a</w:t>
      </w:r>
      <w:r w:rsidRPr="00B65A52">
        <w:rPr>
          <w:rFonts w:ascii="Times New Roman" w:hAnsi="Times New Roman" w:cs="Times New Roman"/>
          <w:sz w:val="24"/>
          <w:szCs w:val="24"/>
        </w:rPr>
        <w:t xml:space="preserve"> Form Guide </w:t>
      </w:r>
      <w:r w:rsidR="004361E0">
        <w:rPr>
          <w:rFonts w:ascii="Times New Roman" w:hAnsi="Times New Roman" w:cs="Times New Roman"/>
          <w:sz w:val="24"/>
          <w:szCs w:val="24"/>
        </w:rPr>
        <w:t xml:space="preserve">and Annual Seclusion/Restraint Reporting Tutorial, </w:t>
      </w:r>
      <w:r w:rsidRPr="00B65A52">
        <w:rPr>
          <w:rFonts w:ascii="Times New Roman" w:hAnsi="Times New Roman" w:cs="Times New Roman"/>
          <w:sz w:val="24"/>
          <w:szCs w:val="24"/>
        </w:rPr>
        <w:t xml:space="preserve">with screenshots and </w:t>
      </w:r>
      <w:r w:rsidR="00EC494F">
        <w:rPr>
          <w:rFonts w:ascii="Times New Roman" w:hAnsi="Times New Roman" w:cs="Times New Roman"/>
          <w:sz w:val="24"/>
          <w:szCs w:val="24"/>
        </w:rPr>
        <w:t xml:space="preserve">audio </w:t>
      </w:r>
      <w:r w:rsidRPr="00B65A52">
        <w:rPr>
          <w:rFonts w:ascii="Times New Roman" w:hAnsi="Times New Roman" w:cs="Times New Roman"/>
          <w:sz w:val="24"/>
          <w:szCs w:val="24"/>
        </w:rPr>
        <w:t xml:space="preserve">instructions for completing the survey </w:t>
      </w:r>
      <w:r w:rsidR="004361E0">
        <w:rPr>
          <w:rFonts w:ascii="Times New Roman" w:hAnsi="Times New Roman" w:cs="Times New Roman"/>
          <w:sz w:val="24"/>
          <w:szCs w:val="24"/>
        </w:rPr>
        <w:t>are</w:t>
      </w:r>
      <w:r w:rsidRPr="00B65A52">
        <w:rPr>
          <w:rFonts w:ascii="Times New Roman" w:hAnsi="Times New Roman" w:cs="Times New Roman"/>
          <w:sz w:val="24"/>
          <w:szCs w:val="24"/>
        </w:rPr>
        <w:t xml:space="preserve"> available for download upon opening the survey </w:t>
      </w:r>
      <w:r w:rsidR="00EC494F">
        <w:rPr>
          <w:rFonts w:ascii="Times New Roman" w:hAnsi="Times New Roman" w:cs="Times New Roman"/>
          <w:sz w:val="24"/>
          <w:szCs w:val="24"/>
        </w:rPr>
        <w:t>and</w:t>
      </w:r>
      <w:r w:rsidRPr="00B65A52">
        <w:rPr>
          <w:rFonts w:ascii="Times New Roman" w:hAnsi="Times New Roman" w:cs="Times New Roman"/>
          <w:sz w:val="24"/>
          <w:szCs w:val="24"/>
        </w:rPr>
        <w:t xml:space="preserve"> on the DBHDS </w:t>
      </w:r>
      <w:hyperlink r:id="rId8" w:tgtFrame="_blank" w:history="1">
        <w:r w:rsidRPr="00B65A52">
          <w:rPr>
            <w:rStyle w:val="Hyperlink"/>
            <w:rFonts w:ascii="Times New Roman" w:hAnsi="Times New Roman" w:cs="Times New Roman"/>
            <w:sz w:val="24"/>
            <w:szCs w:val="24"/>
          </w:rPr>
          <w:t>website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 w:rsidRPr="006016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ED1094" w14:textId="5DA17100" w:rsidR="00EC494F" w:rsidRDefault="00EC494F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E32C41E" w14:textId="6740FA75" w:rsidR="00B65A52" w:rsidRDefault="0042784F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you have </w:t>
      </w:r>
      <w:r w:rsidR="00601653">
        <w:rPr>
          <w:rFonts w:ascii="Times New Roman" w:hAnsi="Times New Roman" w:cs="Times New Roman"/>
          <w:sz w:val="24"/>
          <w:szCs w:val="24"/>
        </w:rPr>
        <w:t xml:space="preserve">questions </w:t>
      </w:r>
      <w:r>
        <w:rPr>
          <w:rFonts w:ascii="Times New Roman" w:hAnsi="Times New Roman" w:cs="Times New Roman"/>
          <w:sz w:val="24"/>
          <w:szCs w:val="24"/>
        </w:rPr>
        <w:t xml:space="preserve">or make an error, </w:t>
      </w:r>
      <w:r w:rsidR="00B65A52" w:rsidRPr="00B65A52">
        <w:rPr>
          <w:rFonts w:ascii="Times New Roman" w:hAnsi="Times New Roman" w:cs="Times New Roman"/>
          <w:sz w:val="24"/>
          <w:szCs w:val="24"/>
        </w:rPr>
        <w:t xml:space="preserve">please </w:t>
      </w:r>
      <w:r w:rsidRPr="00B65A52">
        <w:rPr>
          <w:rFonts w:ascii="Times New Roman" w:hAnsi="Times New Roman" w:cs="Times New Roman"/>
          <w:sz w:val="24"/>
          <w:szCs w:val="24"/>
        </w:rPr>
        <w:t>call,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65A52" w:rsidRPr="00B65A52">
        <w:rPr>
          <w:rFonts w:ascii="Times New Roman" w:hAnsi="Times New Roman" w:cs="Times New Roman"/>
          <w:sz w:val="24"/>
          <w:szCs w:val="24"/>
        </w:rPr>
        <w:t xml:space="preserve">or email your Regional Advocate using the </w:t>
      </w:r>
      <w:r w:rsidR="00B65A52" w:rsidRPr="0042784F">
        <w:rPr>
          <w:rFonts w:ascii="Times New Roman" w:hAnsi="Times New Roman" w:cs="Times New Roman"/>
          <w:sz w:val="24"/>
          <w:szCs w:val="24"/>
        </w:rPr>
        <w:t>contact information directly below</w:t>
      </w:r>
      <w:r w:rsidRPr="0042784F">
        <w:rPr>
          <w:rFonts w:ascii="Times New Roman" w:hAnsi="Times New Roman" w:cs="Times New Roman"/>
          <w:sz w:val="24"/>
          <w:szCs w:val="24"/>
        </w:rPr>
        <w:t>. If you make an error while completing the survey, simply use the back button. If you are unable to correct the error in this way, advance through the survey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84F">
        <w:rPr>
          <w:rFonts w:ascii="Times New Roman" w:hAnsi="Times New Roman" w:cs="Times New Roman"/>
          <w:sz w:val="24"/>
          <w:szCs w:val="24"/>
        </w:rPr>
        <w:t>and then click “submit again” on the last page</w:t>
      </w:r>
      <w:r>
        <w:rPr>
          <w:rFonts w:ascii="Times New Roman" w:hAnsi="Times New Roman" w:cs="Times New Roman"/>
          <w:sz w:val="24"/>
          <w:szCs w:val="24"/>
        </w:rPr>
        <w:t xml:space="preserve"> to</w:t>
      </w:r>
      <w:r w:rsidRPr="0042784F">
        <w:rPr>
          <w:rFonts w:ascii="Times New Roman" w:hAnsi="Times New Roman" w:cs="Times New Roman"/>
          <w:sz w:val="24"/>
          <w:szCs w:val="24"/>
        </w:rPr>
        <w:t xml:space="preserve"> submit the correct survey</w:t>
      </w:r>
      <w:r>
        <w:rPr>
          <w:rFonts w:ascii="Times New Roman" w:hAnsi="Times New Roman" w:cs="Times New Roman"/>
          <w:sz w:val="24"/>
          <w:szCs w:val="24"/>
        </w:rPr>
        <w:t>. Please be sure to e</w:t>
      </w:r>
      <w:r w:rsidRPr="0042784F">
        <w:rPr>
          <w:rFonts w:ascii="Times New Roman" w:hAnsi="Times New Roman" w:cs="Times New Roman"/>
          <w:sz w:val="24"/>
          <w:szCs w:val="24"/>
        </w:rPr>
        <w:t xml:space="preserve">mail your Regional Manager of the date and time you submitted the correct survey. </w:t>
      </w:r>
    </w:p>
    <w:p w14:paraId="1F9C059D" w14:textId="77777777" w:rsidR="006D5B16" w:rsidRDefault="006D5B16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FB9DBA5" w14:textId="77777777" w:rsidR="006D5B16" w:rsidRDefault="006D5B16" w:rsidP="006D5B16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C20CB2">
        <w:rPr>
          <w:rFonts w:ascii="Times New Roman" w:hAnsi="Times New Roman" w:cs="Times New Roman"/>
          <w:sz w:val="24"/>
          <w:szCs w:val="24"/>
        </w:rPr>
        <w:t xml:space="preserve">Data submitted </w:t>
      </w:r>
      <w:r>
        <w:rPr>
          <w:rFonts w:ascii="Times New Roman" w:hAnsi="Times New Roman" w:cs="Times New Roman"/>
          <w:sz w:val="24"/>
          <w:szCs w:val="24"/>
        </w:rPr>
        <w:t xml:space="preserve">through the survey </w:t>
      </w:r>
      <w:r w:rsidRPr="00C20CB2">
        <w:rPr>
          <w:rFonts w:ascii="Times New Roman" w:hAnsi="Times New Roman" w:cs="Times New Roman"/>
          <w:sz w:val="24"/>
          <w:szCs w:val="24"/>
        </w:rPr>
        <w:t xml:space="preserve">is used to identify trends, assess system-wide use of </w:t>
      </w:r>
      <w:r>
        <w:rPr>
          <w:rFonts w:ascii="Times New Roman" w:hAnsi="Times New Roman" w:cs="Times New Roman"/>
          <w:sz w:val="24"/>
          <w:szCs w:val="24"/>
        </w:rPr>
        <w:t xml:space="preserve">restraint and </w:t>
      </w:r>
      <w:r w:rsidRPr="00C20CB2">
        <w:rPr>
          <w:rFonts w:ascii="Times New Roman" w:hAnsi="Times New Roman" w:cs="Times New Roman"/>
          <w:sz w:val="24"/>
          <w:szCs w:val="24"/>
        </w:rPr>
        <w:t xml:space="preserve">seclusion, and develop education materials. </w:t>
      </w:r>
      <w:r>
        <w:rPr>
          <w:rFonts w:ascii="Times New Roman" w:hAnsi="Times New Roman" w:cs="Times New Roman"/>
          <w:sz w:val="24"/>
          <w:szCs w:val="24"/>
        </w:rPr>
        <w:t>Upon review and analysis of the data submitted, a</w:t>
      </w:r>
      <w:r w:rsidRPr="00B65A52">
        <w:rPr>
          <w:rFonts w:ascii="Times New Roman" w:hAnsi="Times New Roman" w:cs="Times New Roman"/>
          <w:sz w:val="24"/>
          <w:szCs w:val="24"/>
        </w:rPr>
        <w:t xml:space="preserve"> representative from </w:t>
      </w:r>
      <w:r>
        <w:rPr>
          <w:rFonts w:ascii="Times New Roman" w:hAnsi="Times New Roman" w:cs="Times New Roman"/>
          <w:sz w:val="24"/>
          <w:szCs w:val="24"/>
        </w:rPr>
        <w:t>OHR</w:t>
      </w:r>
      <w:r w:rsidRPr="00B65A52">
        <w:rPr>
          <w:rFonts w:ascii="Times New Roman" w:hAnsi="Times New Roman" w:cs="Times New Roman"/>
          <w:sz w:val="24"/>
          <w:szCs w:val="24"/>
        </w:rPr>
        <w:t xml:space="preserve"> may contact you for </w:t>
      </w:r>
      <w:r>
        <w:rPr>
          <w:rFonts w:ascii="Times New Roman" w:hAnsi="Times New Roman" w:cs="Times New Roman"/>
          <w:sz w:val="24"/>
          <w:szCs w:val="24"/>
        </w:rPr>
        <w:t xml:space="preserve">additional or clarifying </w:t>
      </w:r>
      <w:r w:rsidRPr="00B65A52">
        <w:rPr>
          <w:rFonts w:ascii="Times New Roman" w:hAnsi="Times New Roman" w:cs="Times New Roman"/>
          <w:sz w:val="24"/>
          <w:szCs w:val="24"/>
        </w:rPr>
        <w:t>information.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5B1824" w14:textId="77777777" w:rsidR="006D5B16" w:rsidRPr="0042784F" w:rsidRDefault="006D5B16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3F95687" w14:textId="683B09DA" w:rsidR="0042784F" w:rsidRPr="00D739FD" w:rsidRDefault="0042784F" w:rsidP="00427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BA96481" w14:textId="77777777" w:rsidR="006D5B16" w:rsidRDefault="006D5B16" w:rsidP="0042784F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F7927A6" w14:textId="2198BD78" w:rsidR="0042784F" w:rsidRDefault="0042784F" w:rsidP="0042784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23305">
        <w:rPr>
          <w:rFonts w:ascii="Times New Roman" w:hAnsi="Times New Roman" w:cs="Times New Roman"/>
          <w:sz w:val="24"/>
          <w:szCs w:val="24"/>
        </w:rPr>
        <w:t xml:space="preserve">The Office of Human Rights recognizes the importance of the work your agency does, and we appreciate your </w:t>
      </w:r>
      <w:r>
        <w:rPr>
          <w:rFonts w:ascii="Times New Roman" w:hAnsi="Times New Roman" w:cs="Times New Roman"/>
          <w:sz w:val="24"/>
          <w:szCs w:val="24"/>
        </w:rPr>
        <w:t xml:space="preserve">compliance with this reporting requirement, as well as your </w:t>
      </w:r>
      <w:r w:rsidRPr="00E23305">
        <w:rPr>
          <w:rFonts w:ascii="Times New Roman" w:hAnsi="Times New Roman" w:cs="Times New Roman"/>
          <w:sz w:val="24"/>
          <w:szCs w:val="24"/>
        </w:rPr>
        <w:t>partnership in the assurance of rights on behalf of people with disabilities in our service delivery system.</w:t>
      </w:r>
    </w:p>
    <w:p w14:paraId="45F2E465" w14:textId="77777777" w:rsidR="0042784F" w:rsidRPr="00E30180" w:rsidRDefault="0042784F" w:rsidP="0042784F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14:paraId="1230CF69" w14:textId="77777777" w:rsidR="0042784F" w:rsidRPr="00E30180" w:rsidRDefault="0042784F" w:rsidP="00427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30180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70B2AAF7" wp14:editId="1155AD82">
            <wp:extent cx="2258572" cy="502921"/>
            <wp:effectExtent l="0" t="0" r="889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8572" cy="502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91A504" w14:textId="77777777" w:rsidR="0042784F" w:rsidRPr="00E30180" w:rsidRDefault="0042784F" w:rsidP="0042784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6F747B4B" w14:textId="77777777" w:rsidR="0042784F" w:rsidRPr="00E23305" w:rsidRDefault="0042784F" w:rsidP="004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305">
        <w:rPr>
          <w:rFonts w:ascii="Times New Roman" w:eastAsia="Times New Roman" w:hAnsi="Times New Roman" w:cs="Times New Roman"/>
          <w:sz w:val="24"/>
          <w:szCs w:val="24"/>
        </w:rPr>
        <w:t>Taneika Goldman</w:t>
      </w:r>
    </w:p>
    <w:p w14:paraId="62AADB5D" w14:textId="77777777" w:rsidR="0042784F" w:rsidRPr="00E23305" w:rsidRDefault="0042784F" w:rsidP="004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305">
        <w:rPr>
          <w:rFonts w:ascii="Times New Roman" w:eastAsia="Times New Roman" w:hAnsi="Times New Roman" w:cs="Times New Roman"/>
          <w:sz w:val="24"/>
          <w:szCs w:val="24"/>
        </w:rPr>
        <w:t>Director, Office of Human Rights</w:t>
      </w:r>
    </w:p>
    <w:p w14:paraId="4FAE6703" w14:textId="77777777" w:rsidR="0042784F" w:rsidRPr="00E23305" w:rsidRDefault="0042784F" w:rsidP="004278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3305">
        <w:rPr>
          <w:rFonts w:ascii="Times New Roman" w:eastAsia="Times New Roman" w:hAnsi="Times New Roman" w:cs="Times New Roman"/>
          <w:sz w:val="24"/>
          <w:szCs w:val="24"/>
        </w:rPr>
        <w:t>DBHDS</w:t>
      </w:r>
    </w:p>
    <w:p w14:paraId="46B05709" w14:textId="77777777" w:rsidR="0042784F" w:rsidRDefault="0042784F" w:rsidP="00B65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4359AD7B" w14:textId="259B0347" w:rsidR="006D5B16" w:rsidRDefault="006D5B16" w:rsidP="00B65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OHR Regional Manager Contacts:</w:t>
      </w:r>
    </w:p>
    <w:p w14:paraId="2330A7A6" w14:textId="77777777" w:rsidR="006D5B16" w:rsidRDefault="006D5B16" w:rsidP="00B65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"/>
        <w:gridCol w:w="2250"/>
        <w:gridCol w:w="1888"/>
        <w:gridCol w:w="4044"/>
      </w:tblGrid>
      <w:tr w:rsidR="006D5B16" w:rsidRPr="00C70930" w14:paraId="67A5F07B" w14:textId="77777777" w:rsidTr="00FD6448">
        <w:trPr>
          <w:trHeight w:val="345"/>
        </w:trPr>
        <w:tc>
          <w:tcPr>
            <w:tcW w:w="116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3BF5E0AA" w14:textId="77777777" w:rsidR="006D5B16" w:rsidRPr="006D5B16" w:rsidRDefault="006D5B16" w:rsidP="00FD64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 1 </w:t>
            </w:r>
          </w:p>
        </w:tc>
        <w:tc>
          <w:tcPr>
            <w:tcW w:w="22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62B8A5E2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Cassie Purtlebaugh </w:t>
            </w:r>
          </w:p>
        </w:tc>
        <w:tc>
          <w:tcPr>
            <w:tcW w:w="188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60C0BDEB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804-382-3889 </w:t>
            </w:r>
          </w:p>
        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5D42D303" w14:textId="77777777" w:rsidR="006D5B16" w:rsidRPr="00C70930" w:rsidRDefault="00A31471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tgtFrame="_blank" w:history="1">
              <w:r w:rsidR="006D5B16" w:rsidRPr="00C709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cassie.purtlebaugh@dbhds.virginia.gov</w:t>
              </w:r>
            </w:hyperlink>
            <w:r w:rsidR="006D5B16"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B16" w:rsidRPr="00C70930" w14:paraId="68858AA4" w14:textId="77777777" w:rsidTr="00FD6448">
        <w:trPr>
          <w:trHeight w:val="345"/>
        </w:trPr>
        <w:tc>
          <w:tcPr>
            <w:tcW w:w="116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64078914" w14:textId="77777777" w:rsidR="006D5B16" w:rsidRPr="006D5B16" w:rsidRDefault="006D5B16" w:rsidP="00FD64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 2 </w:t>
            </w:r>
          </w:p>
        </w:tc>
        <w:tc>
          <w:tcPr>
            <w:tcW w:w="22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1022C1C6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Diana Atcha  </w:t>
            </w:r>
          </w:p>
        </w:tc>
        <w:tc>
          <w:tcPr>
            <w:tcW w:w="188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207085EC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804-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426-3279</w:t>
            </w: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17CE8308" w14:textId="77777777" w:rsidR="006D5B16" w:rsidRPr="00C70930" w:rsidRDefault="00A31471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6D5B16" w:rsidRPr="00C709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diana.atcha@dbhds.virginia.gov</w:t>
              </w:r>
            </w:hyperlink>
            <w:r w:rsidR="006D5B16"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B16" w:rsidRPr="00C70930" w14:paraId="5255432C" w14:textId="77777777" w:rsidTr="00FD6448">
        <w:trPr>
          <w:trHeight w:val="345"/>
        </w:trPr>
        <w:tc>
          <w:tcPr>
            <w:tcW w:w="116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6624B361" w14:textId="77777777" w:rsidR="006D5B16" w:rsidRPr="006D5B16" w:rsidRDefault="006D5B16" w:rsidP="00FD64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 3 </w:t>
            </w:r>
          </w:p>
        </w:tc>
        <w:tc>
          <w:tcPr>
            <w:tcW w:w="22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29028F78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Mandy Crowder </w:t>
            </w:r>
          </w:p>
        </w:tc>
        <w:tc>
          <w:tcPr>
            <w:tcW w:w="188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6246B267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434-713-1621 </w:t>
            </w:r>
          </w:p>
        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4D370204" w14:textId="77777777" w:rsidR="006D5B16" w:rsidRPr="00C70930" w:rsidRDefault="00A31471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tgtFrame="_blank" w:history="1">
              <w:r w:rsidR="006D5B16" w:rsidRPr="00C709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mandy.crowder@dbhds.virginia.gov</w:t>
              </w:r>
            </w:hyperlink>
            <w:r w:rsidR="006D5B16"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B16" w:rsidRPr="00C70930" w14:paraId="0C18481F" w14:textId="77777777" w:rsidTr="00FD6448">
        <w:trPr>
          <w:trHeight w:val="345"/>
        </w:trPr>
        <w:tc>
          <w:tcPr>
            <w:tcW w:w="116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2BFEC228" w14:textId="77777777" w:rsidR="006D5B16" w:rsidRPr="006D5B16" w:rsidRDefault="006D5B16" w:rsidP="00FD64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 4 </w:t>
            </w:r>
          </w:p>
        </w:tc>
        <w:tc>
          <w:tcPr>
            <w:tcW w:w="22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676B43D5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Andrea Milhouse</w:t>
            </w: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19163147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434-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390-0116</w:t>
            </w:r>
          </w:p>
        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036D1DAE" w14:textId="77777777" w:rsidR="006D5B16" w:rsidRPr="00C70930" w:rsidRDefault="00A31471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6D5B16" w:rsidRPr="00C709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andrea.milhouse@dbhds.virginia.gov</w:t>
              </w:r>
            </w:hyperlink>
            <w:r w:rsidR="006D5B16"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6D5B16" w:rsidRPr="00C70930" w14:paraId="33AA9565" w14:textId="77777777" w:rsidTr="00FD6448">
        <w:trPr>
          <w:trHeight w:val="345"/>
        </w:trPr>
        <w:tc>
          <w:tcPr>
            <w:tcW w:w="1162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1A9391AD" w14:textId="77777777" w:rsidR="006D5B16" w:rsidRPr="006D5B16" w:rsidRDefault="006D5B16" w:rsidP="00FD6448">
            <w:pPr>
              <w:pStyle w:val="NoSpacing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5B1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Region 5 </w:t>
            </w:r>
          </w:p>
        </w:tc>
        <w:tc>
          <w:tcPr>
            <w:tcW w:w="2250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2A48471B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Latoya Wilborne</w:t>
            </w: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88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31DCA58F" w14:textId="77777777" w:rsidR="006D5B16" w:rsidRPr="00C70930" w:rsidRDefault="006D5B16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757-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508-2523</w:t>
            </w:r>
            <w:r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44" w:type="dxa"/>
            <w:tcBorders>
              <w:top w:val="single" w:sz="6" w:space="0" w:color="F2F2F2"/>
              <w:left w:val="single" w:sz="6" w:space="0" w:color="F2F2F2"/>
              <w:bottom w:val="single" w:sz="6" w:space="0" w:color="F2F2F2"/>
              <w:right w:val="single" w:sz="6" w:space="0" w:color="F2F2F2"/>
            </w:tcBorders>
            <w:shd w:val="clear" w:color="auto" w:fill="auto"/>
            <w:hideMark/>
          </w:tcPr>
          <w:p w14:paraId="78C8351D" w14:textId="77777777" w:rsidR="006D5B16" w:rsidRPr="00C70930" w:rsidRDefault="00A31471" w:rsidP="00FD6448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6D5B16" w:rsidRPr="00C7093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latoya.wilborne@dbhds.virginia.gov</w:t>
              </w:r>
            </w:hyperlink>
            <w:r w:rsidR="006D5B16" w:rsidRPr="00C7093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27383A4A" w14:textId="77777777" w:rsidR="0042784F" w:rsidRDefault="0042784F" w:rsidP="00B65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1330535E" w14:textId="77777777" w:rsidR="0042784F" w:rsidRDefault="0042784F" w:rsidP="00B65A52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14:paraId="3F094A5F" w14:textId="3320FA55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b/>
          <w:bCs/>
          <w:sz w:val="24"/>
          <w:szCs w:val="24"/>
        </w:rPr>
        <w:t>12VAC35- 115 -230 Provider Requirements for Reporting  </w:t>
      </w: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6276E804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06AFC290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 xml:space="preserve">Providers shall collect, </w:t>
      </w:r>
      <w:proofErr w:type="gramStart"/>
      <w:r w:rsidRPr="00B65A52">
        <w:rPr>
          <w:rFonts w:ascii="Times New Roman" w:hAnsi="Times New Roman" w:cs="Times New Roman"/>
        </w:rPr>
        <w:t>maintain</w:t>
      </w:r>
      <w:proofErr w:type="gramEnd"/>
      <w:r w:rsidRPr="00B65A52">
        <w:rPr>
          <w:rFonts w:ascii="Times New Roman" w:hAnsi="Times New Roman" w:cs="Times New Roman"/>
        </w:rPr>
        <w:t xml:space="preserve"> and report the following information concerning seclusion and restraint.  </w:t>
      </w:r>
    </w:p>
    <w:p w14:paraId="1FC7D160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4FB81927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The director of a service licensed or funded by the department shall submit an annual report [of] each instance of seclusion or restraint or both by the 15</w:t>
      </w:r>
      <w:r w:rsidRPr="00B65A52">
        <w:rPr>
          <w:rFonts w:ascii="Times New Roman" w:hAnsi="Times New Roman" w:cs="Times New Roman"/>
          <w:vertAlign w:val="superscript"/>
        </w:rPr>
        <w:t>th</w:t>
      </w:r>
      <w:r w:rsidRPr="00B65A52">
        <w:rPr>
          <w:rFonts w:ascii="Times New Roman" w:hAnsi="Times New Roman" w:cs="Times New Roman"/>
        </w:rPr>
        <w:t xml:space="preserve"> of January each year, or more frequently if requested by the department.  </w:t>
      </w:r>
    </w:p>
    <w:p w14:paraId="64A9DFBB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  <w:b/>
          <w:bCs/>
        </w:rPr>
        <w:t> </w:t>
      </w:r>
      <w:r w:rsidRPr="00B65A52">
        <w:rPr>
          <w:rFonts w:ascii="Times New Roman" w:hAnsi="Times New Roman" w:cs="Times New Roman"/>
        </w:rPr>
        <w:t> </w:t>
      </w:r>
    </w:p>
    <w:p w14:paraId="63F8FEB8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Each instance of seclusion or restraint or both shall be compiled on a monthly basis and the report shall include:  </w:t>
      </w:r>
    </w:p>
    <w:p w14:paraId="6250C75C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4FFD118D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Type or types, to include:  </w:t>
      </w:r>
    </w:p>
    <w:p w14:paraId="3A97351A" w14:textId="77777777" w:rsidR="00B65A52" w:rsidRPr="00B65A52" w:rsidRDefault="00B65A52" w:rsidP="00B65A52">
      <w:pPr>
        <w:pStyle w:val="NoSpacing"/>
        <w:numPr>
          <w:ilvl w:val="0"/>
          <w:numId w:val="1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Physical restraint (manual hold)  </w:t>
      </w:r>
    </w:p>
    <w:p w14:paraId="55DCE8FB" w14:textId="77777777" w:rsidR="00B65A52" w:rsidRPr="00B65A52" w:rsidRDefault="00B65A52" w:rsidP="00B65A5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Mechanical restraint </w:t>
      </w:r>
    </w:p>
    <w:p w14:paraId="16E2CA6A" w14:textId="77777777" w:rsidR="00B65A52" w:rsidRPr="00B65A52" w:rsidRDefault="00B65A52" w:rsidP="00B65A5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Pharmacological restraint  </w:t>
      </w:r>
    </w:p>
    <w:p w14:paraId="157C0732" w14:textId="77777777" w:rsidR="00B65A52" w:rsidRPr="00B65A52" w:rsidRDefault="00B65A52" w:rsidP="00B65A52">
      <w:pPr>
        <w:pStyle w:val="NoSpacing"/>
        <w:numPr>
          <w:ilvl w:val="0"/>
          <w:numId w:val="2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Seclusion  </w:t>
      </w:r>
    </w:p>
    <w:p w14:paraId="522CD5F7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1D19458A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Rationale for the use of seclusion or restraint, to include:  </w:t>
      </w:r>
    </w:p>
    <w:p w14:paraId="6D8D8CAE" w14:textId="77777777" w:rsidR="00B65A52" w:rsidRPr="00B65A52" w:rsidRDefault="00B65A52" w:rsidP="00B65A5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Behavioral purpose  </w:t>
      </w:r>
    </w:p>
    <w:p w14:paraId="6A5AEF56" w14:textId="77777777" w:rsidR="00B65A52" w:rsidRPr="00B65A52" w:rsidRDefault="00B65A52" w:rsidP="00B65A5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Medical purpose  </w:t>
      </w:r>
    </w:p>
    <w:p w14:paraId="3D9CA776" w14:textId="77777777" w:rsidR="00B65A52" w:rsidRPr="00B65A52" w:rsidRDefault="00B65A52" w:rsidP="00B65A52">
      <w:pPr>
        <w:pStyle w:val="NoSpacing"/>
        <w:numPr>
          <w:ilvl w:val="0"/>
          <w:numId w:val="3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Protective purpose  </w:t>
      </w:r>
    </w:p>
    <w:p w14:paraId="3DD11EF4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1A9D3C40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Duration of the seclusion or restraint, as follows:  </w:t>
      </w:r>
    </w:p>
    <w:p w14:paraId="1D1D3347" w14:textId="77777777" w:rsidR="00B65A52" w:rsidRPr="00B65A52" w:rsidRDefault="00B65A52" w:rsidP="00B65A5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 xml:space="preserve">The duration of seclusion and restraint used for behavioral purposes is defined as the </w:t>
      </w:r>
      <w:r w:rsidRPr="00B65A52">
        <w:rPr>
          <w:rFonts w:ascii="Times New Roman" w:hAnsi="Times New Roman" w:cs="Times New Roman"/>
          <w:i/>
          <w:iCs/>
        </w:rPr>
        <w:t>actual time</w:t>
      </w:r>
      <w:r w:rsidRPr="00B65A52">
        <w:rPr>
          <w:rFonts w:ascii="Times New Roman" w:hAnsi="Times New Roman" w:cs="Times New Roman"/>
        </w:rPr>
        <w:t xml:space="preserve"> the individual is in seclusion or restraint from the time of initiation of [the] seclusion or restraint until the individual is released.  </w:t>
      </w:r>
    </w:p>
    <w:p w14:paraId="0444DDF9" w14:textId="77777777" w:rsidR="00B65A52" w:rsidRPr="00B65A52" w:rsidRDefault="00B65A52" w:rsidP="00B65A52">
      <w:pPr>
        <w:pStyle w:val="NoSpacing"/>
        <w:numPr>
          <w:ilvl w:val="0"/>
          <w:numId w:val="4"/>
        </w:numPr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lastRenderedPageBreak/>
        <w:t xml:space="preserve">The duration of restraint for medical and protective purposes is defined as </w:t>
      </w:r>
      <w:r w:rsidRPr="00B65A52">
        <w:rPr>
          <w:rFonts w:ascii="Times New Roman" w:hAnsi="Times New Roman" w:cs="Times New Roman"/>
          <w:i/>
          <w:iCs/>
        </w:rPr>
        <w:t>the length of the episode as indicated in the order</w:t>
      </w:r>
      <w:r w:rsidRPr="00B65A52">
        <w:rPr>
          <w:rFonts w:ascii="Times New Roman" w:hAnsi="Times New Roman" w:cs="Times New Roman"/>
        </w:rPr>
        <w:t>.  </w:t>
      </w:r>
    </w:p>
    <w:p w14:paraId="61044F41" w14:textId="5B69416C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45FD476A" wp14:editId="56FDA329">
            <wp:extent cx="9525" cy="95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7D615A7C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b/>
          <w:bCs/>
          <w:sz w:val="24"/>
          <w:szCs w:val="24"/>
        </w:rPr>
        <w:t>12VAC35 – 115 – 30 Definitions </w:t>
      </w: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1AD93A24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1A982A8E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 xml:space="preserve">“Restraint” means the use of a mechanical device, medication, physical intervention, or hands-on hold to prevent an individual from moving his body to engage in a behavior that places him or other at </w:t>
      </w:r>
      <w:r w:rsidRPr="00B65A52">
        <w:rPr>
          <w:rFonts w:ascii="Times New Roman" w:hAnsi="Times New Roman" w:cs="Times New Roman"/>
          <w:i/>
          <w:iCs/>
        </w:rPr>
        <w:t>imminent risk</w:t>
      </w:r>
      <w:r w:rsidRPr="00B65A52">
        <w:rPr>
          <w:rFonts w:ascii="Times New Roman" w:hAnsi="Times New Roman" w:cs="Times New Roman"/>
        </w:rPr>
        <w:t>.  </w:t>
      </w:r>
    </w:p>
    <w:p w14:paraId="5AA55B42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14AACC5E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“Mechanical Restraint” means the use of a mechanical device that cannot be removed by the individual to restrict freedom of movement or functioning of a limb or a portion of an individual’s body when that behavior places him or others at imminent risk.  </w:t>
      </w:r>
    </w:p>
    <w:p w14:paraId="776F005F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786E2EA0" w14:textId="6C5EB05B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 xml:space="preserve">“Pharmacological Restraint” means the use of a medication that is administered involuntarily for the </w:t>
      </w:r>
      <w:r w:rsidRPr="00B65A52">
        <w:rPr>
          <w:rFonts w:ascii="Times New Roman" w:hAnsi="Times New Roman" w:cs="Times New Roman"/>
          <w:i/>
          <w:iCs/>
        </w:rPr>
        <w:t>emergency</w:t>
      </w:r>
      <w:r w:rsidRPr="00B65A52">
        <w:rPr>
          <w:rFonts w:ascii="Times New Roman" w:hAnsi="Times New Roman" w:cs="Times New Roman"/>
        </w:rPr>
        <w:t xml:space="preserve"> control of an individual’s behavior when that individual’s behavior </w:t>
      </w:r>
      <w:r w:rsidR="00C70930" w:rsidRPr="00B65A52">
        <w:rPr>
          <w:rFonts w:ascii="Times New Roman" w:hAnsi="Times New Roman" w:cs="Times New Roman"/>
        </w:rPr>
        <w:t>places</w:t>
      </w:r>
      <w:r w:rsidRPr="00B65A52">
        <w:rPr>
          <w:rFonts w:ascii="Times New Roman" w:hAnsi="Times New Roman" w:cs="Times New Roman"/>
        </w:rPr>
        <w:t xml:space="preserve"> him or others at imminent risk and administered </w:t>
      </w:r>
      <w:r w:rsidR="00E23305" w:rsidRPr="00E23305">
        <w:rPr>
          <w:rFonts w:ascii="Times New Roman" w:hAnsi="Times New Roman" w:cs="Times New Roman"/>
        </w:rPr>
        <w:t>medication is</w:t>
      </w:r>
      <w:r w:rsidRPr="00B65A52">
        <w:rPr>
          <w:rFonts w:ascii="Times New Roman" w:hAnsi="Times New Roman" w:cs="Times New Roman"/>
          <w:i/>
          <w:iCs/>
        </w:rPr>
        <w:t xml:space="preserve"> not a standard treatment for the individual’s medical or psychiatric condition.</w:t>
      </w:r>
      <w:r w:rsidRPr="00B65A52">
        <w:rPr>
          <w:rFonts w:ascii="Times New Roman" w:hAnsi="Times New Roman" w:cs="Times New Roman"/>
        </w:rPr>
        <w:t> </w:t>
      </w:r>
    </w:p>
    <w:p w14:paraId="35FFA28B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2B0B700F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“Physical Restraint, also referred to as a manual hold, means the use of a physical intervention or hands-on hold to prevent an individual from moving his body when that individual's behavior places [them] or others at imminent risk"  </w:t>
      </w:r>
    </w:p>
    <w:p w14:paraId="70D6C6D0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> </w:t>
      </w:r>
    </w:p>
    <w:p w14:paraId="7A9611D2" w14:textId="04B1362A" w:rsidR="00B65A52" w:rsidRPr="00B65A52" w:rsidRDefault="00B65A52" w:rsidP="00B65A52">
      <w:pPr>
        <w:pStyle w:val="NoSpacing"/>
        <w:rPr>
          <w:rFonts w:ascii="Times New Roman" w:hAnsi="Times New Roman" w:cs="Times New Roman"/>
        </w:rPr>
      </w:pPr>
      <w:r w:rsidRPr="00B65A52">
        <w:rPr>
          <w:rFonts w:ascii="Times New Roman" w:hAnsi="Times New Roman" w:cs="Times New Roman"/>
        </w:rPr>
        <w:t xml:space="preserve">"Seclusion" means the involuntary placement of an individual alone in an area secured by a door that is locked or held shut by a staff person, by physically blocking the door, or by any other physical or verbal means, so that the individual cannot leave it. </w:t>
      </w:r>
      <w:r w:rsidRPr="00E23305">
        <w:rPr>
          <w:rFonts w:ascii="Times New Roman" w:hAnsi="Times New Roman" w:cs="Times New Roman"/>
          <w:noProof/>
        </w:rPr>
        <w:drawing>
          <wp:inline distT="0" distB="0" distL="0" distR="0" wp14:anchorId="20A987E0" wp14:editId="6C0B3305">
            <wp:extent cx="9525" cy="95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5A52">
        <w:rPr>
          <w:rFonts w:ascii="Times New Roman" w:hAnsi="Times New Roman" w:cs="Times New Roman"/>
        </w:rPr>
        <w:t> </w:t>
      </w:r>
    </w:p>
    <w:p w14:paraId="6A3693A8" w14:textId="77777777" w:rsidR="00B65A52" w:rsidRPr="00B65A52" w:rsidRDefault="00B65A52" w:rsidP="00B65A5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B65A52">
        <w:rPr>
          <w:rFonts w:ascii="Times New Roman" w:hAnsi="Times New Roman" w:cs="Times New Roman"/>
          <w:sz w:val="24"/>
          <w:szCs w:val="24"/>
        </w:rPr>
        <w:t> </w:t>
      </w:r>
    </w:p>
    <w:p w14:paraId="5BFAD4B6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675733" w14:textId="77777777" w:rsidR="00E23305" w:rsidRPr="00D739FD" w:rsidRDefault="00E23305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FE03AA9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75EB5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F3907C4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9EBC504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4F209FD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475F918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CE1BA74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AB87A" w14:textId="77777777" w:rsidR="008B0BDA" w:rsidRPr="00D739FD" w:rsidRDefault="008B0BDA" w:rsidP="00D739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B0BDA" w:rsidRPr="00D739FD" w:rsidSect="008B0BDA">
      <w:type w:val="continuous"/>
      <w:pgSz w:w="12240" w:h="15840" w:code="1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4968BC"/>
    <w:multiLevelType w:val="multilevel"/>
    <w:tmpl w:val="87FA25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976026C"/>
    <w:multiLevelType w:val="multilevel"/>
    <w:tmpl w:val="2A741B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576017"/>
    <w:multiLevelType w:val="multilevel"/>
    <w:tmpl w:val="54C0A0E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CC23AC"/>
    <w:multiLevelType w:val="multilevel"/>
    <w:tmpl w:val="74F0BE0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41393349">
    <w:abstractNumId w:val="3"/>
  </w:num>
  <w:num w:numId="2" w16cid:durableId="460803360">
    <w:abstractNumId w:val="2"/>
  </w:num>
  <w:num w:numId="3" w16cid:durableId="1238244955">
    <w:abstractNumId w:val="0"/>
  </w:num>
  <w:num w:numId="4" w16cid:durableId="140656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FC6"/>
    <w:rsid w:val="00136796"/>
    <w:rsid w:val="001459BA"/>
    <w:rsid w:val="001A5D50"/>
    <w:rsid w:val="0025270F"/>
    <w:rsid w:val="003E1613"/>
    <w:rsid w:val="0042784F"/>
    <w:rsid w:val="004361E0"/>
    <w:rsid w:val="004B5545"/>
    <w:rsid w:val="005D0ECA"/>
    <w:rsid w:val="005E509D"/>
    <w:rsid w:val="00601653"/>
    <w:rsid w:val="00610522"/>
    <w:rsid w:val="00635204"/>
    <w:rsid w:val="00642F33"/>
    <w:rsid w:val="006540AF"/>
    <w:rsid w:val="006B0781"/>
    <w:rsid w:val="006D5B16"/>
    <w:rsid w:val="006E7E9D"/>
    <w:rsid w:val="007469E7"/>
    <w:rsid w:val="00796BFB"/>
    <w:rsid w:val="007E2467"/>
    <w:rsid w:val="00843CE7"/>
    <w:rsid w:val="008B0BDA"/>
    <w:rsid w:val="008E4E5D"/>
    <w:rsid w:val="00A31471"/>
    <w:rsid w:val="00B060D7"/>
    <w:rsid w:val="00B65A52"/>
    <w:rsid w:val="00C20CB2"/>
    <w:rsid w:val="00C61AFF"/>
    <w:rsid w:val="00C70930"/>
    <w:rsid w:val="00C772F6"/>
    <w:rsid w:val="00CB5C89"/>
    <w:rsid w:val="00CF7F68"/>
    <w:rsid w:val="00D60FC6"/>
    <w:rsid w:val="00D739FD"/>
    <w:rsid w:val="00D91949"/>
    <w:rsid w:val="00E23305"/>
    <w:rsid w:val="00E7282F"/>
    <w:rsid w:val="00EC494F"/>
    <w:rsid w:val="00FF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4AC275"/>
  <w15:docId w15:val="{643F2DCA-45C0-4F93-8660-16CAAD619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E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0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0FC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D60FC6"/>
    <w:pPr>
      <w:widowControl w:val="0"/>
      <w:spacing w:after="0" w:line="0" w:lineRule="atLeast"/>
      <w:jc w:val="center"/>
    </w:pPr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character" w:customStyle="1" w:styleId="BodyTextChar">
    <w:name w:val="Body Text Char"/>
    <w:basedOn w:val="DefaultParagraphFont"/>
    <w:link w:val="BodyText"/>
    <w:rsid w:val="00D60FC6"/>
    <w:rPr>
      <w:rFonts w:ascii="CG Times (W1)" w:eastAsia="Times New Roman" w:hAnsi="CG Times (W1)" w:cs="Times New Roman"/>
      <w:b/>
      <w:bCs/>
      <w:i/>
      <w:color w:val="000080"/>
      <w:sz w:val="40"/>
      <w:szCs w:val="20"/>
    </w:rPr>
  </w:style>
  <w:style w:type="paragraph" w:styleId="NoSpacing">
    <w:name w:val="No Spacing"/>
    <w:uiPriority w:val="1"/>
    <w:qFormat/>
    <w:rsid w:val="00D739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65A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5A52"/>
    <w:rPr>
      <w:color w:val="605E5C"/>
      <w:shd w:val="clear" w:color="auto" w:fill="E1DFDD"/>
    </w:rPr>
  </w:style>
  <w:style w:type="paragraph" w:customStyle="1" w:styleId="paragraph">
    <w:name w:val="paragraph"/>
    <w:basedOn w:val="Normal"/>
    <w:rsid w:val="00252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25270F"/>
  </w:style>
  <w:style w:type="character" w:styleId="CommentReference">
    <w:name w:val="annotation reference"/>
    <w:basedOn w:val="DefaultParagraphFont"/>
    <w:uiPriority w:val="99"/>
    <w:semiHidden/>
    <w:unhideWhenUsed/>
    <w:rsid w:val="004278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278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78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78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784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3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5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2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8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80899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85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67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286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5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44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396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74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863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9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0224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3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89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209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496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42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93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87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289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5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67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8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1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39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3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7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5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50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16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549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5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2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820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08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46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71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05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5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32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33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79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70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1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7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1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6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59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3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78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6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58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53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3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774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97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5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2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9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bhds.virginia.gov/quality-management/human-rights/provider-resources" TargetMode="External"/><Relationship Id="rId13" Type="http://schemas.openxmlformats.org/officeDocument/2006/relationships/hyperlink" Target="mailto:andrea.milhouse@dbhds.virginia.gov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aw.lis.virginia.gov/admincode/title12/agency35/chapter115/%20" TargetMode="External"/><Relationship Id="rId12" Type="http://schemas.openxmlformats.org/officeDocument/2006/relationships/hyperlink" Target="mailto:mandy.crowder@dbhds.virginia.gov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irginiadbhds.az1.qualtrics.com/jfe/form/SV_bpfoNyqCvjzB7V4" TargetMode="External"/><Relationship Id="rId11" Type="http://schemas.openxmlformats.org/officeDocument/2006/relationships/hyperlink" Target="mailto:diana.atcha@dbhds.virginia.gov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3.png"/><Relationship Id="rId10" Type="http://schemas.openxmlformats.org/officeDocument/2006/relationships/hyperlink" Target="mailto:cassie.purtlebaugh@dbhds.virginia.gov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mailto:latoya.wilborne@dbhds.virgini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3</Pages>
  <Words>1033</Words>
  <Characters>5890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Virginia IT Infrastructure Partnership</Company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wtg77908</dc:creator>
  <cp:lastModifiedBy>Goldman, Taneika (DBHDS)</cp:lastModifiedBy>
  <cp:revision>2</cp:revision>
  <dcterms:created xsi:type="dcterms:W3CDTF">2023-12-18T21:04:00Z</dcterms:created>
  <dcterms:modified xsi:type="dcterms:W3CDTF">2023-12-18T21:04:00Z</dcterms:modified>
</cp:coreProperties>
</file>