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9302" w14:textId="77777777" w:rsidR="005D0ECA" w:rsidRDefault="00D60FC6" w:rsidP="004238B4">
      <w:r w:rsidRPr="00D60FC6">
        <w:rPr>
          <w:noProof/>
        </w:rPr>
        <w:drawing>
          <wp:anchor distT="0" distB="0" distL="114300" distR="114300" simplePos="0" relativeHeight="251659264" behindDoc="1" locked="0" layoutInCell="1" allowOverlap="1" wp14:anchorId="0F722EBB" wp14:editId="2A777A0D">
            <wp:simplePos x="0" y="0"/>
            <wp:positionH relativeFrom="column">
              <wp:posOffset>3006799</wp:posOffset>
            </wp:positionH>
            <wp:positionV relativeFrom="paragraph">
              <wp:posOffset>116958</wp:posOffset>
            </wp:positionV>
            <wp:extent cx="937880" cy="956930"/>
            <wp:effectExtent l="19050" t="0" r="0" b="0"/>
            <wp:wrapNone/>
            <wp:docPr id="7" name="Picture 7" descr="State-Seal-Blue---BES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te-Seal-Blue---BEST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75B14E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361FE7A9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01070E92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06C6B828" w14:textId="77777777" w:rsidR="00D60FC6" w:rsidRPr="00D60FC6" w:rsidRDefault="00D60FC6" w:rsidP="00D60FC6">
      <w:pPr>
        <w:pStyle w:val="BodyText"/>
        <w:rPr>
          <w:b w:val="0"/>
          <w:color w:val="00197D"/>
          <w:sz w:val="14"/>
          <w:szCs w:val="14"/>
        </w:rPr>
      </w:pPr>
    </w:p>
    <w:p w14:paraId="10938418" w14:textId="77777777" w:rsidR="00D60FC6" w:rsidRPr="007469E7" w:rsidRDefault="00D60FC6" w:rsidP="00D60FC6">
      <w:pPr>
        <w:pStyle w:val="BodyText"/>
        <w:rPr>
          <w:rFonts w:ascii="Times New Roman" w:hAnsi="Times New Roman"/>
          <w:b w:val="0"/>
          <w:color w:val="00197D"/>
          <w:sz w:val="10"/>
          <w:szCs w:val="10"/>
        </w:rPr>
      </w:pPr>
      <w:r w:rsidRPr="00D60FC6">
        <w:rPr>
          <w:rFonts w:ascii="Times New Roman" w:hAnsi="Times New Roman"/>
          <w:b w:val="0"/>
          <w:color w:val="00197D"/>
        </w:rPr>
        <w:t>COMMONWEALTH of VIRGINIA</w:t>
      </w:r>
      <w:r w:rsidR="007469E7">
        <w:rPr>
          <w:rFonts w:ascii="Times New Roman" w:hAnsi="Times New Roman"/>
          <w:b w:val="0"/>
          <w:color w:val="00197D"/>
        </w:rPr>
        <w:br/>
      </w:r>
    </w:p>
    <w:p w14:paraId="063F361F" w14:textId="77777777" w:rsidR="006E7E9D" w:rsidRDefault="006E7E9D" w:rsidP="006E7E9D">
      <w:pPr>
        <w:widowControl w:val="0"/>
        <w:spacing w:line="-151" w:lineRule="auto"/>
        <w:jc w:val="center"/>
        <w:rPr>
          <w:rFonts w:ascii="Times New Roman" w:hAnsi="Times New Roman" w:cs="Times New Roman"/>
          <w:color w:val="00197D"/>
          <w:sz w:val="14"/>
          <w:szCs w:val="14"/>
        </w:rPr>
        <w:sectPr w:rsidR="006E7E9D" w:rsidSect="00D60FC6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0BF13B" w14:textId="77777777" w:rsidR="006E7E9D" w:rsidRPr="00D60FC6" w:rsidRDefault="00B060D7" w:rsidP="006E7E9D">
      <w:pPr>
        <w:widowControl w:val="0"/>
        <w:spacing w:line="-151" w:lineRule="auto"/>
        <w:jc w:val="center"/>
        <w:rPr>
          <w:rFonts w:ascii="Times New Roman" w:hAnsi="Times New Roman" w:cs="Times New Roman"/>
          <w:color w:val="00197D"/>
          <w:sz w:val="14"/>
          <w:szCs w:val="14"/>
        </w:rPr>
      </w:pPr>
      <w:r>
        <w:rPr>
          <w:rFonts w:ascii="Times New Roman" w:hAnsi="Times New Roman" w:cs="Times New Roman"/>
          <w:caps/>
          <w:color w:val="00197D"/>
          <w:sz w:val="14"/>
          <w:szCs w:val="14"/>
        </w:rPr>
        <w:t>NELSON SMITH</w:t>
      </w:r>
      <w:r w:rsidR="006E7E9D">
        <w:rPr>
          <w:rFonts w:ascii="Times New Roman" w:hAnsi="Times New Roman" w:cs="Times New Roman"/>
          <w:color w:val="00197D"/>
          <w:sz w:val="14"/>
          <w:szCs w:val="14"/>
        </w:rPr>
        <w:br/>
      </w:r>
      <w:r w:rsidR="006E7E9D" w:rsidRPr="00D60FC6">
        <w:rPr>
          <w:rFonts w:ascii="Times New Roman" w:hAnsi="Times New Roman" w:cs="Times New Roman"/>
          <w:color w:val="00197D"/>
          <w:sz w:val="14"/>
          <w:szCs w:val="14"/>
        </w:rPr>
        <w:t xml:space="preserve"> COMMISSIONER</w:t>
      </w:r>
    </w:p>
    <w:p w14:paraId="5F323BD6" w14:textId="77777777" w:rsidR="006E7E9D" w:rsidRDefault="006E7E9D" w:rsidP="00D60FC6">
      <w:pPr>
        <w:widowControl w:val="0"/>
        <w:spacing w:line="287" w:lineRule="auto"/>
        <w:jc w:val="center"/>
        <w:rPr>
          <w:rFonts w:ascii="Times New Roman" w:hAnsi="Times New Roman" w:cs="Times New Roman"/>
          <w:i/>
          <w:color w:val="00197D"/>
          <w:sz w:val="14"/>
          <w:szCs w:val="14"/>
        </w:rPr>
      </w:pPr>
    </w:p>
    <w:p w14:paraId="252E6958" w14:textId="77777777" w:rsidR="00D60FC6" w:rsidRDefault="00D60FC6" w:rsidP="00D60FC6">
      <w:pPr>
        <w:widowControl w:val="0"/>
        <w:spacing w:line="287" w:lineRule="auto"/>
        <w:jc w:val="center"/>
        <w:rPr>
          <w:rFonts w:ascii="Times New Roman" w:hAnsi="Times New Roman" w:cs="Times New Roman"/>
          <w:color w:val="00197D"/>
          <w:sz w:val="16"/>
        </w:rPr>
      </w:pPr>
      <w:r w:rsidRPr="00D60FC6">
        <w:rPr>
          <w:rFonts w:ascii="Times New Roman" w:hAnsi="Times New Roman" w:cs="Times New Roman"/>
          <w:i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i/>
          <w:color w:val="00197D"/>
          <w:sz w:val="20"/>
        </w:rPr>
        <w:t>DEPARTMENT OF</w:t>
      </w:r>
      <w:r>
        <w:rPr>
          <w:rFonts w:ascii="Times New Roman" w:hAnsi="Times New Roman" w:cs="Times New Roman"/>
          <w:i/>
          <w:color w:val="00197D"/>
          <w:sz w:val="20"/>
        </w:rPr>
        <w:br/>
      </w:r>
      <w:r w:rsidRPr="00D60FC6">
        <w:rPr>
          <w:rFonts w:ascii="Times New Roman" w:hAnsi="Times New Roman" w:cs="Times New Roman"/>
          <w:i/>
          <w:color w:val="00197D"/>
          <w:sz w:val="20"/>
        </w:rPr>
        <w:t>BEHAVIORAL HEALTH AND DEVELOPMENTAL SERVICES</w:t>
      </w:r>
      <w:r>
        <w:rPr>
          <w:rFonts w:ascii="Times New Roman" w:hAnsi="Times New Roman" w:cs="Times New Roman"/>
          <w:i/>
          <w:color w:val="00197D"/>
          <w:sz w:val="20"/>
        </w:rPr>
        <w:br/>
      </w:r>
      <w:r w:rsidRPr="00D60FC6">
        <w:rPr>
          <w:rFonts w:ascii="Times New Roman" w:hAnsi="Times New Roman" w:cs="Times New Roman"/>
          <w:color w:val="00197D"/>
          <w:sz w:val="16"/>
        </w:rPr>
        <w:t>Post Office Box 1797</w:t>
      </w:r>
      <w:r>
        <w:rPr>
          <w:rFonts w:ascii="Times New Roman" w:hAnsi="Times New Roman" w:cs="Times New Roman"/>
          <w:color w:val="00197D"/>
          <w:sz w:val="16"/>
        </w:rPr>
        <w:br/>
      </w:r>
      <w:r w:rsidRPr="00D60FC6">
        <w:rPr>
          <w:rFonts w:ascii="Times New Roman" w:hAnsi="Times New Roman" w:cs="Times New Roman"/>
          <w:color w:val="00197D"/>
          <w:sz w:val="16"/>
        </w:rPr>
        <w:t>Richmond, Virginia   23218-1797</w:t>
      </w:r>
    </w:p>
    <w:p w14:paraId="008C1E54" w14:textId="77777777" w:rsidR="00D60FC6" w:rsidRPr="00D60FC6" w:rsidRDefault="00D60FC6" w:rsidP="00D60FC6">
      <w:pPr>
        <w:widowControl w:val="0"/>
        <w:jc w:val="center"/>
        <w:rPr>
          <w:rFonts w:ascii="Times New Roman" w:hAnsi="Times New Roman" w:cs="Times New Roman"/>
          <w:color w:val="00197D"/>
          <w:sz w:val="14"/>
          <w:szCs w:val="14"/>
        </w:rPr>
      </w:pPr>
      <w:r w:rsidRPr="00D60FC6">
        <w:rPr>
          <w:rFonts w:ascii="Times New Roman" w:hAnsi="Times New Roman" w:cs="Times New Roman"/>
          <w:color w:val="00197D"/>
          <w:sz w:val="14"/>
          <w:szCs w:val="14"/>
        </w:rPr>
        <w:t>Telephone (804) 786-3921</w:t>
      </w:r>
      <w:r>
        <w:rPr>
          <w:rFonts w:ascii="Times New Roman" w:hAnsi="Times New Roman" w:cs="Times New Roman"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color w:val="00197D"/>
          <w:sz w:val="14"/>
          <w:szCs w:val="14"/>
        </w:rPr>
        <w:t>Fax (804) 371-6638</w:t>
      </w:r>
      <w:r>
        <w:rPr>
          <w:rFonts w:ascii="Times New Roman" w:hAnsi="Times New Roman" w:cs="Times New Roman"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color w:val="00197D"/>
          <w:sz w:val="14"/>
          <w:szCs w:val="14"/>
        </w:rPr>
        <w:t>www.dbhds.virginia.gov</w:t>
      </w:r>
    </w:p>
    <w:p w14:paraId="1A742953" w14:textId="77777777" w:rsidR="006E7E9D" w:rsidRDefault="006E7E9D" w:rsidP="00F44F65">
      <w:pPr>
        <w:sectPr w:rsidR="006E7E9D" w:rsidSect="006E7E9D">
          <w:type w:val="continuous"/>
          <w:pgSz w:w="12240" w:h="15840"/>
          <w:pgMar w:top="720" w:right="180" w:bottom="720" w:left="180" w:header="720" w:footer="720" w:gutter="0"/>
          <w:cols w:num="3" w:space="823" w:equalWidth="0">
            <w:col w:w="2160" w:space="823"/>
            <w:col w:w="5914" w:space="823"/>
            <w:col w:w="2160"/>
          </w:cols>
          <w:docGrid w:linePitch="360"/>
        </w:sectPr>
      </w:pPr>
    </w:p>
    <w:p w14:paraId="60F9F87B" w14:textId="77777777" w:rsidR="00F44F65" w:rsidRPr="003E0695" w:rsidRDefault="00F44F65" w:rsidP="00F44F65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0BE635E" w14:textId="77777777" w:rsidR="00F44F65" w:rsidRPr="00C151B7" w:rsidRDefault="00F44F65" w:rsidP="00F44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B7">
        <w:rPr>
          <w:rFonts w:ascii="Times New Roman" w:eastAsia="Times New Roman" w:hAnsi="Times New Roman" w:cs="Times New Roman"/>
          <w:b/>
          <w:sz w:val="24"/>
          <w:szCs w:val="24"/>
        </w:rPr>
        <w:t>MEMORANDUM</w:t>
      </w:r>
    </w:p>
    <w:p w14:paraId="52F70170" w14:textId="77777777" w:rsidR="00F44F65" w:rsidRDefault="00F44F65" w:rsidP="00F44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FEFBEE" w14:textId="2A23D806" w:rsidR="00F44F65" w:rsidRPr="00E07D84" w:rsidRDefault="00F44F65" w:rsidP="00F44F65">
      <w:pPr>
        <w:tabs>
          <w:tab w:val="left" w:pos="9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B7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07D84">
        <w:rPr>
          <w:rFonts w:ascii="Times New Roman" w:eastAsia="Times New Roman" w:hAnsi="Times New Roman" w:cs="Times New Roman"/>
          <w:sz w:val="24"/>
          <w:szCs w:val="24"/>
        </w:rPr>
        <w:t xml:space="preserve">DBHDS </w:t>
      </w:r>
      <w:r>
        <w:rPr>
          <w:rFonts w:ascii="Times New Roman" w:eastAsia="Times New Roman" w:hAnsi="Times New Roman" w:cs="Times New Roman"/>
          <w:sz w:val="24"/>
          <w:szCs w:val="24"/>
        </w:rPr>
        <w:t>Licensed Providers</w:t>
      </w:r>
    </w:p>
    <w:p w14:paraId="1913B5ED" w14:textId="77777777" w:rsidR="00F44F65" w:rsidRPr="00E07D84" w:rsidRDefault="00F44F65" w:rsidP="00F44F65">
      <w:pPr>
        <w:tabs>
          <w:tab w:val="left" w:pos="9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84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E0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D84">
        <w:rPr>
          <w:rFonts w:ascii="Times New Roman" w:eastAsia="Times New Roman" w:hAnsi="Times New Roman" w:cs="Times New Roman"/>
          <w:sz w:val="24"/>
          <w:szCs w:val="24"/>
        </w:rPr>
        <w:tab/>
        <w:t>Taneika Goldman, State Human Rights Director</w:t>
      </w:r>
    </w:p>
    <w:p w14:paraId="034B9D8C" w14:textId="1DC1ED8D" w:rsidR="009A3386" w:rsidRDefault="00F44F65" w:rsidP="006E1601">
      <w:pPr>
        <w:tabs>
          <w:tab w:val="left" w:pos="9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84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Pr="00E0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D8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B05959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670B08FF" w14:textId="64360F61" w:rsidR="00D71317" w:rsidRDefault="00D71317" w:rsidP="006E1601">
      <w:pPr>
        <w:tabs>
          <w:tab w:val="left" w:pos="9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Provider Investigations</w:t>
      </w:r>
    </w:p>
    <w:p w14:paraId="25B5B772" w14:textId="77777777" w:rsidR="00715CE9" w:rsidRDefault="00715CE9" w:rsidP="00715CE9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853AD" w14:textId="27348A98" w:rsidR="009A3386" w:rsidRDefault="009A3386" w:rsidP="00715CE9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following information 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is intended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an overview of the Community Look-Behind </w:t>
      </w:r>
    </w:p>
    <w:p w14:paraId="74685C19" w14:textId="548DEB65" w:rsidR="009A3386" w:rsidRDefault="009A3386" w:rsidP="00715CE9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process, a </w:t>
      </w:r>
      <w:r>
        <w:rPr>
          <w:rFonts w:ascii="Times New Roman" w:eastAsia="Times New Roman" w:hAnsi="Times New Roman" w:cs="Times New Roman"/>
          <w:sz w:val="24"/>
          <w:szCs w:val="24"/>
        </w:rPr>
        <w:t>summary of data from recent reviews</w:t>
      </w:r>
      <w:r w:rsidR="00051E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1EDD" w:rsidRPr="003969C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51EDD" w:rsidRPr="0039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459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re</w:t>
      </w:r>
      <w:r w:rsidR="007E481E">
        <w:rPr>
          <w:rFonts w:ascii="Times New Roman" w:eastAsia="Times New Roman" w:hAnsi="Times New Roman" w:cs="Times New Roman"/>
          <w:b/>
          <w:bCs/>
          <w:sz w:val="24"/>
          <w:szCs w:val="24"/>
        </w:rPr>
        <w:t>minders</w:t>
      </w:r>
      <w:r w:rsidRPr="00AA24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providers</w:t>
      </w:r>
      <w:r w:rsidR="00051EDD" w:rsidRPr="00AA2459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7E481E">
        <w:rPr>
          <w:rFonts w:ascii="Times New Roman" w:hAnsi="Times New Roman" w:cs="Times New Roman"/>
          <w:b/>
          <w:bCs/>
          <w:sz w:val="24"/>
          <w:szCs w:val="24"/>
        </w:rPr>
        <w:t xml:space="preserve">ensure 1) </w:t>
      </w:r>
      <w:r w:rsidR="00051EDD" w:rsidRPr="00AA2459">
        <w:rPr>
          <w:rFonts w:ascii="Times New Roman" w:hAnsi="Times New Roman" w:cs="Times New Roman"/>
          <w:b/>
          <w:bCs/>
          <w:sz w:val="24"/>
          <w:szCs w:val="24"/>
        </w:rPr>
        <w:t xml:space="preserve">trained investigators </w:t>
      </w:r>
      <w:r w:rsidR="003969CD">
        <w:rPr>
          <w:rFonts w:ascii="Times New Roman" w:hAnsi="Times New Roman" w:cs="Times New Roman"/>
          <w:b/>
          <w:bCs/>
          <w:sz w:val="24"/>
          <w:szCs w:val="24"/>
        </w:rPr>
        <w:t>conducts</w:t>
      </w:r>
      <w:r w:rsidR="007E481E">
        <w:rPr>
          <w:rFonts w:ascii="Times New Roman" w:hAnsi="Times New Roman" w:cs="Times New Roman"/>
          <w:b/>
          <w:bCs/>
          <w:sz w:val="24"/>
          <w:szCs w:val="24"/>
        </w:rPr>
        <w:t xml:space="preserve"> investigations</w:t>
      </w:r>
      <w:r w:rsidR="00396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81E">
        <w:rPr>
          <w:rFonts w:ascii="Times New Roman" w:hAnsi="Times New Roman" w:cs="Times New Roman"/>
          <w:b/>
          <w:bCs/>
          <w:sz w:val="24"/>
          <w:szCs w:val="24"/>
        </w:rPr>
        <w:t xml:space="preserve">2) investigators </w:t>
      </w:r>
      <w:r w:rsidR="007E481E" w:rsidRPr="00AA2459">
        <w:rPr>
          <w:rFonts w:ascii="Times New Roman" w:hAnsi="Times New Roman" w:cs="Times New Roman"/>
          <w:b/>
          <w:bCs/>
          <w:sz w:val="24"/>
          <w:szCs w:val="24"/>
        </w:rPr>
        <w:t xml:space="preserve">interview </w:t>
      </w:r>
      <w:r w:rsidR="007E481E">
        <w:rPr>
          <w:rFonts w:ascii="Times New Roman" w:hAnsi="Times New Roman" w:cs="Times New Roman"/>
          <w:b/>
          <w:bCs/>
          <w:sz w:val="24"/>
          <w:szCs w:val="24"/>
        </w:rPr>
        <w:t xml:space="preserve">or collect statements from </w:t>
      </w:r>
      <w:r w:rsidR="007E481E" w:rsidRPr="00AA2459">
        <w:rPr>
          <w:rFonts w:ascii="Times New Roman" w:hAnsi="Times New Roman" w:cs="Times New Roman"/>
          <w:b/>
          <w:bCs/>
          <w:sz w:val="24"/>
          <w:szCs w:val="24"/>
        </w:rPr>
        <w:t xml:space="preserve">all involved staff </w:t>
      </w:r>
      <w:r w:rsidR="007E481E" w:rsidRPr="007E48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 </w:t>
      </w:r>
      <w:r w:rsidR="007E481E" w:rsidRPr="00AA2459">
        <w:rPr>
          <w:rFonts w:ascii="Times New Roman" w:hAnsi="Times New Roman" w:cs="Times New Roman"/>
          <w:b/>
          <w:bCs/>
          <w:sz w:val="24"/>
          <w:szCs w:val="24"/>
        </w:rPr>
        <w:t>individuals</w:t>
      </w:r>
      <w:r w:rsidR="007E48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E481E" w:rsidRPr="00AA2459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7E481E">
        <w:rPr>
          <w:rFonts w:ascii="Times New Roman" w:hAnsi="Times New Roman" w:cs="Times New Roman"/>
          <w:b/>
          <w:bCs/>
          <w:sz w:val="24"/>
          <w:szCs w:val="24"/>
        </w:rPr>
        <w:t>3) investigations are completed within timeframe</w:t>
      </w:r>
      <w:r w:rsidR="003969C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51EDD" w:rsidRPr="00AA245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The impetus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this memo</w:t>
      </w:r>
      <w:r w:rsidR="008C2533">
        <w:rPr>
          <w:rFonts w:ascii="Times New Roman" w:eastAsia="Times New Roman" w:hAnsi="Times New Roman" w:cs="Times New Roman"/>
          <w:bCs/>
          <w:sz w:val="24"/>
          <w:szCs w:val="24"/>
        </w:rPr>
        <w:t>randum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 is based on information collected </w:t>
      </w:r>
      <w:r w:rsidR="003969CD">
        <w:rPr>
          <w:rFonts w:ascii="Times New Roman" w:eastAsia="Times New Roman" w:hAnsi="Times New Roman" w:cs="Times New Roman"/>
          <w:bCs/>
          <w:sz w:val="24"/>
          <w:szCs w:val="24"/>
        </w:rPr>
        <w:t>from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most recent </w:t>
      </w:r>
      <w:r w:rsidR="007E481E">
        <w:rPr>
          <w:rFonts w:ascii="Times New Roman" w:eastAsia="Times New Roman" w:hAnsi="Times New Roman" w:cs="Times New Roman"/>
          <w:bCs/>
          <w:sz w:val="24"/>
          <w:szCs w:val="24"/>
        </w:rPr>
        <w:t xml:space="preserve">Community Look-Behind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reviews 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and the </w:t>
      </w:r>
      <w:r w:rsidR="00051EDD">
        <w:rPr>
          <w:rFonts w:ascii="Times New Roman" w:eastAsia="Times New Roman" w:hAnsi="Times New Roman" w:cs="Times New Roman"/>
          <w:bCs/>
          <w:sz w:val="24"/>
          <w:szCs w:val="24"/>
        </w:rPr>
        <w:t xml:space="preserve">detailed 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>requirement</w:t>
      </w:r>
      <w:r w:rsidR="00051EDD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providers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1EDD">
        <w:rPr>
          <w:rFonts w:ascii="Times New Roman" w:eastAsia="Times New Roman" w:hAnsi="Times New Roman" w:cs="Times New Roman"/>
          <w:bCs/>
          <w:sz w:val="24"/>
          <w:szCs w:val="24"/>
        </w:rPr>
        <w:t>regarding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complaints alleging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 abuse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neglect,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exploitation</w:t>
      </w:r>
      <w:r w:rsidR="0039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outlined in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Human Rights </w:t>
      </w:r>
      <w:r w:rsidR="00492E6F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>egulations</w:t>
      </w:r>
      <w:r w:rsidR="00051EDD">
        <w:rPr>
          <w:rFonts w:ascii="Times New Roman" w:eastAsia="Times New Roman" w:hAnsi="Times New Roman" w:cs="Times New Roman"/>
          <w:bCs/>
          <w:sz w:val="24"/>
          <w:szCs w:val="24"/>
        </w:rPr>
        <w:t xml:space="preserve"> (see 12VAC35-115-175)</w:t>
      </w:r>
      <w:r w:rsidRPr="009A338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4ED724A" w14:textId="77777777" w:rsidR="00051EDD" w:rsidRPr="00051EDD" w:rsidRDefault="00051EDD" w:rsidP="00715C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3227C" w14:textId="1ABD54E8" w:rsidR="00D71317" w:rsidRDefault="00D71317" w:rsidP="00715CE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Key </w:t>
      </w:r>
      <w:r w:rsidR="005F71C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Findings Related to Investigations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14:paraId="59870546" w14:textId="7987E422" w:rsidR="00D71317" w:rsidRDefault="00886874" w:rsidP="00715CE9">
      <w:pPr>
        <w:pStyle w:val="ListParagraph"/>
        <w:keepNext/>
        <w:keepLines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82% were completed within 10 days</w:t>
      </w:r>
      <w:r w:rsidR="003D77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25E0AB3" w14:textId="0E3AED0C" w:rsidR="00886874" w:rsidRDefault="0025721F" w:rsidP="00715CE9">
      <w:pPr>
        <w:pStyle w:val="ListParagraph"/>
        <w:keepNext/>
        <w:keepLines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63% were conducted by a trained investigator</w:t>
      </w:r>
      <w:r w:rsidR="003D77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4E300211" w14:textId="5A8EECC4" w:rsidR="0025721F" w:rsidRDefault="004C6238" w:rsidP="00715CE9">
      <w:pPr>
        <w:pStyle w:val="ListParagraph"/>
        <w:keepNext/>
        <w:keepLines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77% had evidence that involved staff were interviewed or provided statements</w:t>
      </w:r>
      <w:r w:rsidR="003D77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A1C6D7B" w14:textId="5976F3E7" w:rsidR="003D77A7" w:rsidRDefault="00DF7501" w:rsidP="00715CE9">
      <w:pPr>
        <w:pStyle w:val="ListParagraph"/>
        <w:keepNext/>
        <w:keepLines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45% had evidence that </w:t>
      </w:r>
      <w:r w:rsidR="005F71C0">
        <w:rPr>
          <w:rFonts w:ascii="Times New Roman" w:eastAsia="Times New Roman" w:hAnsi="Times New Roman" w:cs="Times New Roman"/>
          <w:bCs/>
          <w:sz w:val="24"/>
          <w:szCs w:val="24"/>
        </w:rPr>
        <w:t>involved individuals were interviewed or provided statements</w:t>
      </w:r>
    </w:p>
    <w:p w14:paraId="3385EED9" w14:textId="77777777" w:rsidR="00665A22" w:rsidRDefault="00665A22" w:rsidP="00715CE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69D221" w14:textId="641660BD" w:rsidR="00665A22" w:rsidRPr="00081EB1" w:rsidRDefault="00665A22" w:rsidP="00715CE9">
      <w:pPr>
        <w:pStyle w:val="NoSpacing"/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</w:pPr>
      <w:r w:rsidRPr="00081EB1"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  <w:t>Key Reminders</w:t>
      </w:r>
      <w:r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  <w:t xml:space="preserve"> for Providers</w:t>
      </w:r>
      <w:r w:rsidRPr="00081EB1"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  <w:t>:</w:t>
      </w:r>
    </w:p>
    <w:p w14:paraId="34AF20EB" w14:textId="77777777" w:rsidR="00665A22" w:rsidRPr="00E504C7" w:rsidRDefault="00665A22" w:rsidP="00715CE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 detailed and systematic investigation must be completed within 10 working days from the date the abuse/neglect complaint is made known to the provider, or the date the potential abuse, neglect or exploitation is discovered by the provider themselves. </w:t>
      </w:r>
    </w:p>
    <w:p w14:paraId="3D8EA48C" w14:textId="474B67AB" w:rsidR="00665A22" w:rsidRPr="00E504C7" w:rsidRDefault="00665A22" w:rsidP="00715CE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0B0B0B"/>
          <w:sz w:val="24"/>
          <w:szCs w:val="24"/>
        </w:rPr>
        <w:t>Investigation</w:t>
      </w:r>
      <w:r w:rsidR="00715CE9">
        <w:rPr>
          <w:rFonts w:ascii="Times New Roman" w:eastAsia="Cambria" w:hAnsi="Times New Roman" w:cs="Times New Roman"/>
          <w:color w:val="0B0B0B"/>
          <w:sz w:val="24"/>
          <w:szCs w:val="24"/>
        </w:rPr>
        <w:t>s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must be done by a person trained to conduct abuse/neglect investigations. </w:t>
      </w:r>
    </w:p>
    <w:p w14:paraId="244B6C26" w14:textId="32D4E5BF" w:rsidR="00665A22" w:rsidRPr="00E504C7" w:rsidRDefault="00665A22" w:rsidP="00715CE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0B0B0B"/>
          <w:sz w:val="24"/>
          <w:szCs w:val="24"/>
        </w:rPr>
        <w:t>OHR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Abuse/Neglect Investigation training a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s well as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industry 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best-practice guidelines indicate all parties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including provider staff and individuals receiving services 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involved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or implicated 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 a complaint should be interviewed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and/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>or asked to provide a written account of what occurred. The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se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perspective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s provide important facts and context to be considered when deciding whether the complaint is substantiated.</w:t>
      </w:r>
    </w:p>
    <w:p w14:paraId="7C80A6BF" w14:textId="77777777" w:rsidR="00665A22" w:rsidRPr="005236E8" w:rsidRDefault="00665A22" w:rsidP="00715CE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lastRenderedPageBreak/>
        <w:t xml:space="preserve">Providers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must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maintain accurate and complete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documentation related to the services they provide. This extends to include accurate and complete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investigation summar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ies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, witness statements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(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>or notes indicating why a statement was not obtained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),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copies of notifications to individuals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and 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>guardians about the outcome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and any other evidence collected or documents produced during the abuse/neglect complaint investigation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>.</w:t>
      </w:r>
    </w:p>
    <w:p w14:paraId="6A99511B" w14:textId="77777777" w:rsidR="00D71317" w:rsidRDefault="00D71317" w:rsidP="009A338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A66F02A" w14:textId="3087F39B" w:rsidR="009A3386" w:rsidRPr="00AA2459" w:rsidRDefault="009A3386" w:rsidP="009A338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A245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Background:</w:t>
      </w:r>
    </w:p>
    <w:p w14:paraId="2F11CF6F" w14:textId="3B5DD62F" w:rsidR="004238B4" w:rsidRPr="00AC508E" w:rsidRDefault="00625EB3" w:rsidP="009A338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In 2016, the Office of Human Rights (OHR) established the Community Look-Behind </w:t>
      </w:r>
      <w:r w:rsidR="00E962F1">
        <w:rPr>
          <w:rFonts w:ascii="Times New Roman" w:eastAsia="Times New Roman" w:hAnsi="Times New Roman" w:cs="Times New Roman"/>
          <w:bCs/>
          <w:sz w:val="24"/>
          <w:szCs w:val="24"/>
        </w:rPr>
        <w:t xml:space="preserve">(CLB) </w:t>
      </w:r>
      <w:r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to identify areas where training or follow-up technical assistance are needed in order to improve the investigative methods </w:t>
      </w:r>
      <w:r w:rsidR="00E962F1">
        <w:rPr>
          <w:rFonts w:ascii="Times New Roman" w:eastAsia="Times New Roman" w:hAnsi="Times New Roman" w:cs="Times New Roman"/>
          <w:bCs/>
          <w:sz w:val="24"/>
          <w:szCs w:val="24"/>
        </w:rPr>
        <w:t xml:space="preserve">used </w:t>
      </w:r>
      <w:r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and outcomes reported </w:t>
      </w:r>
      <w:r w:rsidR="005248C6">
        <w:rPr>
          <w:rFonts w:ascii="Times New Roman" w:eastAsia="Times New Roman" w:hAnsi="Times New Roman" w:cs="Times New Roman"/>
          <w:bCs/>
          <w:sz w:val="24"/>
          <w:szCs w:val="24"/>
        </w:rPr>
        <w:t xml:space="preserve">by providers </w:t>
      </w:r>
      <w:r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to OHR. </w:t>
      </w:r>
      <w:r w:rsidR="004238B4"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CLB is a </w:t>
      </w:r>
      <w:r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retrospective review of </w:t>
      </w:r>
      <w:r w:rsid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closed abuse, </w:t>
      </w:r>
      <w:r w:rsidR="00732150">
        <w:rPr>
          <w:rFonts w:ascii="Times New Roman" w:eastAsia="Times New Roman" w:hAnsi="Times New Roman" w:cs="Times New Roman"/>
          <w:bCs/>
          <w:sz w:val="24"/>
          <w:szCs w:val="24"/>
        </w:rPr>
        <w:t>neglect,</w:t>
      </w:r>
      <w:r w:rsid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exploitation (ANE) </w:t>
      </w:r>
      <w:r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investigations </w:t>
      </w:r>
      <w:r w:rsidR="004238B4"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among individuals receiving </w:t>
      </w:r>
      <w:r w:rsidR="00E962F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4238B4"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ervices </w:t>
      </w:r>
      <w:r w:rsidR="00E962F1">
        <w:rPr>
          <w:rFonts w:ascii="Times New Roman" w:eastAsia="Times New Roman" w:hAnsi="Times New Roman" w:cs="Times New Roman"/>
          <w:bCs/>
          <w:sz w:val="24"/>
          <w:szCs w:val="24"/>
        </w:rPr>
        <w:t xml:space="preserve">for developmental and intellectual disabilities </w:t>
      </w:r>
      <w:r w:rsidR="004238B4" w:rsidRPr="00AC508E">
        <w:rPr>
          <w:rFonts w:ascii="Times New Roman" w:eastAsia="Times New Roman" w:hAnsi="Times New Roman" w:cs="Times New Roman"/>
          <w:bCs/>
          <w:sz w:val="24"/>
          <w:szCs w:val="24"/>
        </w:rPr>
        <w:t>in licensed community provider settings. Due to data quality issues preventing sampling, the CLB was put on hold in September 2021.</w:t>
      </w:r>
      <w:r w:rsidR="004238B4" w:rsidRPr="00AC5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38B4"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By </w:t>
      </w:r>
      <w:r w:rsidRPr="00AC508E">
        <w:rPr>
          <w:rFonts w:ascii="Times New Roman" w:eastAsia="Times New Roman" w:hAnsi="Times New Roman" w:cs="Times New Roman"/>
          <w:bCs/>
          <w:sz w:val="24"/>
          <w:szCs w:val="24"/>
        </w:rPr>
        <w:t>January 2023</w:t>
      </w:r>
      <w:r w:rsidR="004238B4"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 w:rsidR="00CA23B1"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se issues </w:t>
      </w:r>
      <w:r w:rsidR="004238B4" w:rsidRPr="00AC508E">
        <w:rPr>
          <w:rFonts w:ascii="Times New Roman" w:eastAsia="Times New Roman" w:hAnsi="Times New Roman" w:cs="Times New Roman"/>
          <w:bCs/>
          <w:sz w:val="24"/>
          <w:szCs w:val="24"/>
        </w:rPr>
        <w:t>had been corrected</w:t>
      </w:r>
      <w:r w:rsidR="005248C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</w:t>
      </w:r>
      <w:r w:rsidR="00732150">
        <w:rPr>
          <w:rFonts w:ascii="Times New Roman" w:eastAsia="Times New Roman" w:hAnsi="Times New Roman" w:cs="Times New Roman"/>
          <w:bCs/>
          <w:sz w:val="24"/>
          <w:szCs w:val="24"/>
        </w:rPr>
        <w:t xml:space="preserve"> OHR resumed the CLB </w:t>
      </w:r>
      <w:r w:rsidR="00E962F1">
        <w:rPr>
          <w:rFonts w:ascii="Times New Roman" w:eastAsia="Times New Roman" w:hAnsi="Times New Roman" w:cs="Times New Roman"/>
          <w:bCs/>
          <w:sz w:val="24"/>
          <w:szCs w:val="24"/>
        </w:rPr>
        <w:t xml:space="preserve">review process </w:t>
      </w:r>
      <w:r w:rsidR="004238B4" w:rsidRPr="00AC508E">
        <w:rPr>
          <w:rFonts w:ascii="Times New Roman" w:eastAsia="Times New Roman" w:hAnsi="Times New Roman" w:cs="Times New Roman"/>
          <w:bCs/>
          <w:sz w:val="24"/>
          <w:szCs w:val="24"/>
        </w:rPr>
        <w:t xml:space="preserve">in June 2023. </w:t>
      </w:r>
    </w:p>
    <w:p w14:paraId="594FAEB6" w14:textId="301AE8D7" w:rsidR="004238B4" w:rsidRPr="00AA2459" w:rsidRDefault="00732150" w:rsidP="004238B4">
      <w:pPr>
        <w:keepNext/>
        <w:keepLines/>
        <w:spacing w:before="280" w:after="8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0B0B0B"/>
          <w:sz w:val="24"/>
          <w:szCs w:val="24"/>
        </w:rPr>
      </w:pPr>
      <w:r w:rsidRPr="00AA2459">
        <w:rPr>
          <w:rFonts w:ascii="Times New Roman" w:eastAsia="Times New Roman" w:hAnsi="Times New Roman" w:cs="Times New Roman"/>
          <w:b/>
          <w:i/>
          <w:iCs/>
          <w:color w:val="0B0B0B"/>
          <w:sz w:val="24"/>
          <w:szCs w:val="24"/>
        </w:rPr>
        <w:t xml:space="preserve">CLB </w:t>
      </w:r>
      <w:r w:rsidR="004238B4" w:rsidRPr="00AA2459">
        <w:rPr>
          <w:rFonts w:ascii="Times New Roman" w:eastAsia="Times New Roman" w:hAnsi="Times New Roman" w:cs="Times New Roman"/>
          <w:b/>
          <w:i/>
          <w:iCs/>
          <w:color w:val="0B0B0B"/>
          <w:sz w:val="24"/>
          <w:szCs w:val="24"/>
        </w:rPr>
        <w:t>Review Process:</w:t>
      </w:r>
    </w:p>
    <w:p w14:paraId="1683E2BF" w14:textId="6750B71A" w:rsidR="0074255D" w:rsidRDefault="0074255D" w:rsidP="004238B4">
      <w:p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The following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criteria </w:t>
      </w:r>
      <w:r w:rsidR="001809C1">
        <w:rPr>
          <w:rFonts w:ascii="Times New Roman" w:eastAsia="Cambria" w:hAnsi="Times New Roman" w:cs="Times New Roman"/>
          <w:color w:val="0B0B0B"/>
          <w:sz w:val="24"/>
          <w:szCs w:val="24"/>
        </w:rPr>
        <w:t>wa</w:t>
      </w:r>
      <w:r w:rsidR="00E962F1">
        <w:rPr>
          <w:rFonts w:ascii="Times New Roman" w:eastAsia="Cambria" w:hAnsi="Times New Roman" w:cs="Times New Roman"/>
          <w:color w:val="0B0B0B"/>
          <w:sz w:val="24"/>
          <w:szCs w:val="24"/>
        </w:rPr>
        <w:t>s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utilized to identify 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>a</w:t>
      </w:r>
      <w:r w:rsidR="00924DDC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randomized sample of 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>Abuse Reports (or “</w:t>
      </w:r>
      <w:r w:rsidR="00E962F1">
        <w:rPr>
          <w:rFonts w:ascii="Times New Roman" w:eastAsia="Cambria" w:hAnsi="Times New Roman" w:cs="Times New Roman"/>
          <w:color w:val="0B0B0B"/>
          <w:sz w:val="24"/>
          <w:szCs w:val="24"/>
        </w:rPr>
        <w:t>cases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>”)</w:t>
      </w:r>
      <w:r w:rsidR="00E962F1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for review in this recent round of study: </w:t>
      </w:r>
    </w:p>
    <w:p w14:paraId="02D43B99" w14:textId="163768C8" w:rsidR="0074255D" w:rsidRDefault="0074255D" w:rsidP="007425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Incident date in </w:t>
      </w:r>
      <w:r w:rsidR="00924DDC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Q3 and </w:t>
      </w:r>
      <w:r w:rsidR="001809C1">
        <w:rPr>
          <w:rFonts w:ascii="Times New Roman" w:eastAsia="Cambria" w:hAnsi="Times New Roman" w:cs="Times New Roman"/>
          <w:color w:val="0B0B0B"/>
          <w:sz w:val="24"/>
          <w:szCs w:val="24"/>
        </w:rPr>
        <w:t>Q</w:t>
      </w:r>
      <w:r w:rsidR="00924DDC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4 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of 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F</w:t>
      </w:r>
      <w:r w:rsidR="001809C1">
        <w:rPr>
          <w:rFonts w:ascii="Times New Roman" w:eastAsia="Cambria" w:hAnsi="Times New Roman" w:cs="Times New Roman"/>
          <w:color w:val="0B0B0B"/>
          <w:sz w:val="24"/>
          <w:szCs w:val="24"/>
        </w:rPr>
        <w:t>Y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>2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3</w:t>
      </w:r>
      <w:r w:rsidR="001809C1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, </w:t>
      </w:r>
      <w:r w:rsidR="00924DDC">
        <w:rPr>
          <w:rFonts w:ascii="Times New Roman" w:eastAsia="Cambria" w:hAnsi="Times New Roman" w:cs="Times New Roman"/>
          <w:color w:val="0B0B0B"/>
          <w:sz w:val="24"/>
          <w:szCs w:val="24"/>
        </w:rPr>
        <w:t>and Q</w:t>
      </w:r>
      <w:r w:rsidR="001809C1">
        <w:rPr>
          <w:rFonts w:ascii="Times New Roman" w:eastAsia="Cambria" w:hAnsi="Times New Roman" w:cs="Times New Roman"/>
          <w:color w:val="0B0B0B"/>
          <w:sz w:val="24"/>
          <w:szCs w:val="24"/>
        </w:rPr>
        <w:t>1</w:t>
      </w:r>
      <w:r w:rsidR="00924DDC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of </w:t>
      </w:r>
      <w:r w:rsidR="00924DDC">
        <w:rPr>
          <w:rFonts w:ascii="Times New Roman" w:eastAsia="Cambria" w:hAnsi="Times New Roman" w:cs="Times New Roman"/>
          <w:color w:val="0B0B0B"/>
          <w:sz w:val="24"/>
          <w:szCs w:val="24"/>
        </w:rPr>
        <w:t>F</w:t>
      </w:r>
      <w:r w:rsidR="001809C1">
        <w:rPr>
          <w:rFonts w:ascii="Times New Roman" w:eastAsia="Cambria" w:hAnsi="Times New Roman" w:cs="Times New Roman"/>
          <w:color w:val="0B0B0B"/>
          <w:sz w:val="24"/>
          <w:szCs w:val="24"/>
        </w:rPr>
        <w:t>Y</w:t>
      </w:r>
      <w:r w:rsidR="00924DDC">
        <w:rPr>
          <w:rFonts w:ascii="Times New Roman" w:eastAsia="Cambria" w:hAnsi="Times New Roman" w:cs="Times New Roman"/>
          <w:color w:val="0B0B0B"/>
          <w:sz w:val="24"/>
          <w:szCs w:val="24"/>
        </w:rPr>
        <w:t>24</w:t>
      </w:r>
      <w:r w:rsidR="00E962F1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, </w:t>
      </w:r>
      <w:r w:rsidR="00924DDC">
        <w:rPr>
          <w:rFonts w:ascii="Times New Roman" w:eastAsia="Cambria" w:hAnsi="Times New Roman" w:cs="Times New Roman"/>
          <w:color w:val="0B0B0B"/>
          <w:sz w:val="24"/>
          <w:szCs w:val="24"/>
        </w:rPr>
        <w:t>(</w:t>
      </w:r>
      <w:r w:rsidR="001809C1">
        <w:rPr>
          <w:rFonts w:ascii="Times New Roman" w:eastAsia="Cambria" w:hAnsi="Times New Roman" w:cs="Times New Roman"/>
          <w:color w:val="0B0B0B"/>
          <w:sz w:val="24"/>
          <w:szCs w:val="24"/>
        </w:rPr>
        <w:t>1</w:t>
      </w:r>
      <w:r w:rsidR="00924DDC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/1/23 – 9/30/23) </w:t>
      </w:r>
    </w:p>
    <w:p w14:paraId="1A1EC368" w14:textId="7DFBFF55" w:rsidR="0074255D" w:rsidRDefault="0074255D" w:rsidP="007425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Service Type of DD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, 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as listed on the CHRIS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Abuse </w:t>
      </w:r>
      <w:r w:rsidR="00E962F1">
        <w:rPr>
          <w:rFonts w:ascii="Times New Roman" w:eastAsia="Cambria" w:hAnsi="Times New Roman" w:cs="Times New Roman"/>
          <w:color w:val="0B0B0B"/>
          <w:sz w:val="24"/>
          <w:szCs w:val="24"/>
        </w:rPr>
        <w:t>R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eport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(</w:t>
      </w:r>
      <w:r w:rsidR="00E962F1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DD 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refers to 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>“</w:t>
      </w:r>
      <w:r w:rsidR="00E962F1">
        <w:rPr>
          <w:rFonts w:ascii="Times New Roman" w:eastAsia="Cambria" w:hAnsi="Times New Roman" w:cs="Times New Roman"/>
          <w:color w:val="0B0B0B"/>
          <w:sz w:val="24"/>
          <w:szCs w:val="24"/>
        </w:rPr>
        <w:t>d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evelopmental </w:t>
      </w:r>
      <w:r w:rsidR="00E962F1">
        <w:rPr>
          <w:rFonts w:ascii="Times New Roman" w:eastAsia="Cambria" w:hAnsi="Times New Roman" w:cs="Times New Roman"/>
          <w:color w:val="0B0B0B"/>
          <w:sz w:val="24"/>
          <w:szCs w:val="24"/>
        </w:rPr>
        <w:t>d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isability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>”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and is inclusive of </w:t>
      </w:r>
      <w:r w:rsidR="00E962F1">
        <w:rPr>
          <w:rFonts w:ascii="Times New Roman" w:eastAsia="Cambria" w:hAnsi="Times New Roman" w:cs="Times New Roman"/>
          <w:color w:val="0B0B0B"/>
          <w:sz w:val="24"/>
          <w:szCs w:val="24"/>
        </w:rPr>
        <w:t>i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ntellectual </w:t>
      </w:r>
      <w:r w:rsidR="00E962F1">
        <w:rPr>
          <w:rFonts w:ascii="Times New Roman" w:eastAsia="Cambria" w:hAnsi="Times New Roman" w:cs="Times New Roman"/>
          <w:color w:val="0B0B0B"/>
          <w:sz w:val="24"/>
          <w:szCs w:val="24"/>
        </w:rPr>
        <w:t>d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isabilit</w:t>
      </w:r>
      <w:r w:rsidR="00E962F1">
        <w:rPr>
          <w:rFonts w:ascii="Times New Roman" w:eastAsia="Cambria" w:hAnsi="Times New Roman" w:cs="Times New Roman"/>
          <w:color w:val="0B0B0B"/>
          <w:sz w:val="24"/>
          <w:szCs w:val="24"/>
        </w:rPr>
        <w:t>y),</w:t>
      </w:r>
    </w:p>
    <w:p w14:paraId="5E67FD98" w14:textId="4C4E582C" w:rsidR="0074255D" w:rsidRDefault="00E962F1" w:rsidP="007425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>
        <w:rPr>
          <w:rFonts w:ascii="Times New Roman" w:eastAsia="Cambria" w:hAnsi="Times New Roman" w:cs="Times New Roman"/>
          <w:color w:val="0B0B0B"/>
          <w:sz w:val="24"/>
          <w:szCs w:val="24"/>
        </w:rPr>
        <w:t>Abuse Report</w:t>
      </w:r>
      <w:r w:rsidR="0074255D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submitted by a Community Services Board (CSB) or licensed private provider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,</w:t>
      </w:r>
      <w:r w:rsidR="0074255D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and </w:t>
      </w:r>
    </w:p>
    <w:p w14:paraId="3DF1E6B4" w14:textId="3845E217" w:rsidR="0074255D" w:rsidRDefault="00E962F1" w:rsidP="007425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>
        <w:rPr>
          <w:rFonts w:ascii="Times New Roman" w:eastAsia="Cambria" w:hAnsi="Times New Roman" w:cs="Times New Roman"/>
          <w:color w:val="0B0B0B"/>
          <w:sz w:val="24"/>
          <w:szCs w:val="24"/>
        </w:rPr>
        <w:t>Abuse Report</w:t>
      </w:r>
      <w:r w:rsidR="0074255D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deemed “closed” by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the assigned </w:t>
      </w:r>
      <w:r w:rsidR="0074255D">
        <w:rPr>
          <w:rFonts w:ascii="Times New Roman" w:eastAsia="Cambria" w:hAnsi="Times New Roman" w:cs="Times New Roman"/>
          <w:color w:val="0B0B0B"/>
          <w:sz w:val="24"/>
          <w:szCs w:val="24"/>
        </w:rPr>
        <w:t>OHR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Advocate.</w:t>
      </w:r>
      <w:r w:rsidR="0074255D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</w:p>
    <w:p w14:paraId="3721D485" w14:textId="77777777" w:rsidR="0074255D" w:rsidRDefault="0074255D" w:rsidP="0074255D">
      <w:pPr>
        <w:pStyle w:val="ListParagraph"/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</w:p>
    <w:p w14:paraId="0451530B" w14:textId="45562ED1" w:rsidR="00716499" w:rsidRDefault="004238B4" w:rsidP="0074255D">
      <w:p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All CLB reviews </w:t>
      </w:r>
      <w:r w:rsidR="00732150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a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re conducted remotely </w:t>
      </w:r>
      <w:r w:rsidR="00732150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by </w:t>
      </w:r>
      <w:r w:rsidR="0094442E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the five </w:t>
      </w:r>
      <w:r w:rsidR="00732150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OHR Regional Managers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>. Reviews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include a desk audit of the associated CHRIS Abuse Report, </w:t>
      </w:r>
      <w:r w:rsidR="00732150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 </w:t>
      </w:r>
      <w:r w:rsidR="005248C6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comparison 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review of information </w:t>
      </w:r>
      <w:r w:rsidR="005248C6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submitted by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the provider and a follow-up virtual meeting </w:t>
      </w:r>
      <w:r w:rsidR="00B448A6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or telephone call 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with the provider to debrief on the outcome of the review.  </w:t>
      </w:r>
      <w:r w:rsidR="00732150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Discrepancies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identified during the review </w:t>
      </w:r>
      <w:r w:rsidR="00732150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a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re discussed during the debrief session with the provider. For example, when documentation of </w:t>
      </w:r>
      <w:r w:rsidR="00732150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specific corrective 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actions that were indicated </w:t>
      </w:r>
      <w:r w:rsidR="00732150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by the provider 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 CHRIS as having been completed </w:t>
      </w:r>
      <w:r w:rsidR="00732150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a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re not </w:t>
      </w:r>
      <w:r w:rsidR="00732150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observed in the documents submitted for the desk audit</w:t>
      </w:r>
      <w:r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.</w:t>
      </w:r>
      <w:r w:rsidR="00632EE7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>Reviews are focused on identifying opportunities for system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>s</w:t>
      </w:r>
      <w:r w:rsidR="001809C1">
        <w:rPr>
          <w:rFonts w:ascii="Times New Roman" w:eastAsia="Cambria" w:hAnsi="Times New Roman" w:cs="Times New Roman"/>
          <w:color w:val="0B0B0B"/>
          <w:sz w:val="24"/>
          <w:szCs w:val="24"/>
        </w:rPr>
        <w:t>-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>improvement</w:t>
      </w:r>
      <w:r w:rsidR="001809C1">
        <w:rPr>
          <w:rFonts w:ascii="Times New Roman" w:eastAsia="Cambria" w:hAnsi="Times New Roman" w:cs="Times New Roman"/>
          <w:color w:val="0B0B0B"/>
          <w:sz w:val="24"/>
          <w:szCs w:val="24"/>
        </w:rPr>
        <w:t>,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and </w:t>
      </w:r>
      <w:r w:rsidR="001809C1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deficiencies 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identified during the review </w:t>
      </w:r>
      <w:r w:rsidR="001809C1">
        <w:rPr>
          <w:rFonts w:ascii="Times New Roman" w:eastAsia="Cambria" w:hAnsi="Times New Roman" w:cs="Times New Roman"/>
          <w:color w:val="0B0B0B"/>
          <w:sz w:val="24"/>
          <w:szCs w:val="24"/>
        </w:rPr>
        <w:t>of closed cases will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not result in a licensing citation. </w:t>
      </w:r>
    </w:p>
    <w:p w14:paraId="6B3C58AC" w14:textId="77777777" w:rsidR="00716499" w:rsidRDefault="00716499" w:rsidP="0074255D">
      <w:p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</w:p>
    <w:p w14:paraId="60EE70B4" w14:textId="2E3D830D" w:rsidR="004238B4" w:rsidRPr="0074255D" w:rsidRDefault="00AA2459" w:rsidP="0074255D">
      <w:p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>
        <w:rPr>
          <w:rFonts w:ascii="Times New Roman" w:eastAsia="Cambria" w:hAnsi="Times New Roman" w:cs="Times New Roman"/>
          <w:color w:val="0B0B0B"/>
          <w:sz w:val="24"/>
          <w:szCs w:val="24"/>
        </w:rPr>
        <w:t>As part of the review, p</w:t>
      </w:r>
      <w:r w:rsidR="004238B4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roviders </w:t>
      </w:r>
      <w:r w:rsidR="00732150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a</w:t>
      </w:r>
      <w:r w:rsidR="004238B4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re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notified and </w:t>
      </w:r>
      <w:r w:rsidR="004238B4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asked to </w:t>
      </w:r>
      <w:r w:rsidR="0074255D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submit via </w:t>
      </w:r>
      <w:r w:rsidR="004238B4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email the following investigation documentation </w:t>
      </w:r>
      <w:r w:rsidR="00632EE7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relating to the identified </w:t>
      </w:r>
      <w:r w:rsidR="004B72F2">
        <w:rPr>
          <w:rFonts w:ascii="Times New Roman" w:eastAsia="Cambria" w:hAnsi="Times New Roman" w:cs="Times New Roman"/>
          <w:color w:val="0B0B0B"/>
          <w:sz w:val="24"/>
          <w:szCs w:val="24"/>
        </w:rPr>
        <w:t>case</w:t>
      </w:r>
      <w:r w:rsidR="00632EE7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(s)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within 5 working days of the request</w:t>
      </w:r>
      <w:r w:rsidR="004238B4" w:rsidRPr="0074255D">
        <w:rPr>
          <w:rFonts w:ascii="Times New Roman" w:eastAsia="Cambria" w:hAnsi="Times New Roman" w:cs="Times New Roman"/>
          <w:color w:val="0B0B0B"/>
          <w:sz w:val="24"/>
          <w:szCs w:val="24"/>
        </w:rPr>
        <w:t>:</w:t>
      </w:r>
    </w:p>
    <w:p w14:paraId="36669B82" w14:textId="77777777" w:rsidR="004238B4" w:rsidRPr="00AC508E" w:rsidRDefault="004238B4" w:rsidP="004238B4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>Full investigative report, </w:t>
      </w:r>
    </w:p>
    <w:p w14:paraId="19689635" w14:textId="77777777" w:rsidR="004238B4" w:rsidRPr="00AC508E" w:rsidRDefault="004238B4" w:rsidP="004238B4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>Corresponding internal incident report, </w:t>
      </w:r>
    </w:p>
    <w:p w14:paraId="5C5729C6" w14:textId="77777777" w:rsidR="004238B4" w:rsidRPr="00AC508E" w:rsidRDefault="004238B4" w:rsidP="004238B4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>Witness statements, </w:t>
      </w:r>
    </w:p>
    <w:p w14:paraId="16EA6574" w14:textId="77777777" w:rsidR="004238B4" w:rsidRPr="00AC508E" w:rsidRDefault="004238B4" w:rsidP="004238B4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>Accused staff statements, </w:t>
      </w:r>
    </w:p>
    <w:p w14:paraId="3942C26C" w14:textId="77777777" w:rsidR="004238B4" w:rsidRPr="00AC508E" w:rsidRDefault="004238B4" w:rsidP="004238B4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>Evidence of notification of incident made to AR/guardian (if applicable), </w:t>
      </w:r>
    </w:p>
    <w:p w14:paraId="51297450" w14:textId="77777777" w:rsidR="004238B4" w:rsidRPr="00AC508E" w:rsidRDefault="004238B4" w:rsidP="004238B4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>Written notice of findings, </w:t>
      </w:r>
    </w:p>
    <w:p w14:paraId="3E5FFB0D" w14:textId="77777777" w:rsidR="004238B4" w:rsidRPr="00AC508E" w:rsidRDefault="004238B4" w:rsidP="004238B4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>Evidence of the investigator's investigation training (ex. Copy of training certificate), </w:t>
      </w:r>
    </w:p>
    <w:p w14:paraId="032F0156" w14:textId="12537D02" w:rsidR="004238B4" w:rsidRPr="00AC508E" w:rsidRDefault="004238B4" w:rsidP="004238B4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>Evidence of corrective action</w:t>
      </w:r>
      <w:r w:rsidR="00632EE7">
        <w:rPr>
          <w:rFonts w:ascii="Times New Roman" w:eastAsia="Cambria" w:hAnsi="Times New Roman" w:cs="Times New Roman"/>
          <w:color w:val="0B0B0B"/>
          <w:sz w:val="24"/>
          <w:szCs w:val="24"/>
        </w:rPr>
        <w:t>(s)</w:t>
      </w: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taken (for substantiated cases). </w:t>
      </w:r>
    </w:p>
    <w:p w14:paraId="3D52EB07" w14:textId="77777777" w:rsidR="004238B4" w:rsidRPr="00AC508E" w:rsidRDefault="004238B4" w:rsidP="004238B4">
      <w:pPr>
        <w:spacing w:after="0" w:line="240" w:lineRule="auto"/>
        <w:ind w:left="1080"/>
        <w:rPr>
          <w:rFonts w:ascii="Times New Roman" w:eastAsia="Cambria" w:hAnsi="Times New Roman" w:cs="Times New Roman"/>
          <w:color w:val="0B0B0B"/>
          <w:sz w:val="24"/>
          <w:szCs w:val="24"/>
        </w:rPr>
      </w:pPr>
    </w:p>
    <w:p w14:paraId="5138DA75" w14:textId="6C6EB64A" w:rsidR="00632EE7" w:rsidRDefault="0094442E" w:rsidP="004238B4">
      <w:pPr>
        <w:spacing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>
        <w:rPr>
          <w:rFonts w:ascii="Times New Roman" w:eastAsia="Cambria" w:hAnsi="Times New Roman" w:cs="Times New Roman"/>
          <w:color w:val="0B0B0B"/>
          <w:sz w:val="24"/>
          <w:szCs w:val="24"/>
        </w:rPr>
        <w:lastRenderedPageBreak/>
        <w:t>OHR Regional Managers</w:t>
      </w:r>
      <w:r w:rsidR="004238B4"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complete a CLB Review Form 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>for</w:t>
      </w:r>
      <w:r w:rsidR="004238B4"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each review. </w:t>
      </w:r>
      <w:r w:rsidR="008904D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The Form contains </w:t>
      </w:r>
      <w:r w:rsidR="00232C82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Yes/No </w:t>
      </w:r>
      <w:r w:rsidR="008904D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questions to assess </w:t>
      </w:r>
      <w:r w:rsidR="0029351A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different elements of the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ANE </w:t>
      </w:r>
      <w:r w:rsidR="00232C82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investigation process 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as </w:t>
      </w:r>
      <w:r w:rsidR="00232C82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contained in the </w:t>
      </w:r>
      <w:r w:rsidR="0029351A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Abuse Report </w:t>
      </w:r>
      <w:r w:rsidR="00232C82">
        <w:rPr>
          <w:rFonts w:ascii="Times New Roman" w:eastAsia="Cambria" w:hAnsi="Times New Roman" w:cs="Times New Roman"/>
          <w:color w:val="0B0B0B"/>
          <w:sz w:val="24"/>
          <w:szCs w:val="24"/>
        </w:rPr>
        <w:t>and provider documentation. Some of these elements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evaluated</w:t>
      </w:r>
      <w:r w:rsid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>assess</w:t>
      </w:r>
      <w:r w:rsidR="0029351A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 w:rsid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provider requirements such as </w:t>
      </w:r>
      <w:r w:rsidR="0029351A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timeliness of the initial </w:t>
      </w:r>
      <w:r w:rsidR="009F1E84">
        <w:rPr>
          <w:rFonts w:ascii="Times New Roman" w:eastAsia="Cambria" w:hAnsi="Times New Roman" w:cs="Times New Roman"/>
          <w:color w:val="0B0B0B"/>
          <w:sz w:val="24"/>
          <w:szCs w:val="24"/>
        </w:rPr>
        <w:t>Abuse R</w:t>
      </w:r>
      <w:r w:rsidR="0029351A">
        <w:rPr>
          <w:rFonts w:ascii="Times New Roman" w:eastAsia="Cambria" w:hAnsi="Times New Roman" w:cs="Times New Roman"/>
          <w:color w:val="0B0B0B"/>
          <w:sz w:val="24"/>
          <w:szCs w:val="24"/>
        </w:rPr>
        <w:t>eport</w:t>
      </w:r>
      <w:r w:rsid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in CHRIS</w:t>
      </w:r>
      <w:r w:rsidR="0029351A">
        <w:rPr>
          <w:rFonts w:ascii="Times New Roman" w:eastAsia="Cambria" w:hAnsi="Times New Roman" w:cs="Times New Roman"/>
          <w:color w:val="0B0B0B"/>
          <w:sz w:val="24"/>
          <w:szCs w:val="24"/>
        </w:rPr>
        <w:t>, completion of required notifications,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and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evidence of identified corrective actions</w:t>
      </w:r>
      <w:r w:rsid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etc.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W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hile </w:t>
      </w:r>
      <w:r w:rsid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other elements </w:t>
      </w:r>
      <w:r w:rsidR="0071649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evaluated 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>assess</w:t>
      </w:r>
      <w:r w:rsid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OHR 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>processes</w:t>
      </w:r>
      <w:r w:rsid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such as </w:t>
      </w:r>
      <w:r w:rsidR="00232C82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whether the 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assigned </w:t>
      </w:r>
      <w:r w:rsidR="00232C82">
        <w:rPr>
          <w:rFonts w:ascii="Times New Roman" w:eastAsia="Cambria" w:hAnsi="Times New Roman" w:cs="Times New Roman"/>
          <w:color w:val="0B0B0B"/>
          <w:sz w:val="24"/>
          <w:szCs w:val="24"/>
        </w:rPr>
        <w:t>OHR Advocate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agreed with the provider findings, issued a licensing </w:t>
      </w:r>
      <w:r w:rsidR="008C2533">
        <w:rPr>
          <w:rFonts w:ascii="Times New Roman" w:eastAsia="Cambria" w:hAnsi="Times New Roman" w:cs="Times New Roman"/>
          <w:color w:val="0B0B0B"/>
          <w:sz w:val="24"/>
          <w:szCs w:val="24"/>
        </w:rPr>
        <w:t>citation,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and</w:t>
      </w:r>
      <w:r w:rsidR="00232C82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verified</w:t>
      </w:r>
      <w:r w:rsidR="00232C82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corrective actions for substantiated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cases</w:t>
      </w:r>
      <w:r w:rsidR="00AA2459">
        <w:rPr>
          <w:rFonts w:ascii="Times New Roman" w:eastAsia="Cambria" w:hAnsi="Times New Roman" w:cs="Times New Roman"/>
          <w:color w:val="0B0B0B"/>
          <w:sz w:val="24"/>
          <w:szCs w:val="24"/>
        </w:rPr>
        <w:t>, and</w:t>
      </w:r>
      <w:r w:rsidR="00232C82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closed the case according to OHR Protocols etc.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 w:rsidR="004238B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Reviews </w:t>
      </w:r>
      <w:r w:rsidR="00632EE7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a</w:t>
      </w:r>
      <w:r w:rsidR="004238B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re conducted monthly (5 </w:t>
      </w:r>
      <w:r w:rsidR="009F1E8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cases</w:t>
      </w:r>
      <w:r w:rsidR="004238B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per region</w:t>
      </w:r>
      <w:r w:rsidR="009F1E8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totaling </w:t>
      </w:r>
      <w:r w:rsidR="004238B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25 cases </w:t>
      </w:r>
      <w:r w:rsidR="008904D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reviewed </w:t>
      </w:r>
      <w:r w:rsidR="009F1E8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each </w:t>
      </w:r>
      <w:r w:rsidR="004238B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month</w:t>
      </w:r>
      <w:r w:rsidR="009F1E8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). </w:t>
      </w:r>
      <w:r w:rsidR="00924DDC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The</w:t>
      </w:r>
      <w:r w:rsidR="004238B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 w:rsidR="008904D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goal is to rev</w:t>
      </w:r>
      <w:r w:rsidR="009F1E8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iew a sample of </w:t>
      </w:r>
      <w:r w:rsidR="008904D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300 cases per year, </w:t>
      </w:r>
      <w:r w:rsidR="009F1E8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with</w:t>
      </w:r>
      <w:r w:rsidR="008904D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the </w:t>
      </w:r>
      <w:r w:rsidR="004238B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time between case closure and case review</w:t>
      </w:r>
      <w:r w:rsidR="00632EE7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 w:rsidR="009F1E8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structured</w:t>
      </w:r>
      <w:r w:rsidR="00632EE7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to </w:t>
      </w:r>
      <w:r w:rsidR="004238B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average less than </w:t>
      </w:r>
      <w:r w:rsidR="00632EE7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3</w:t>
      </w:r>
      <w:r w:rsidR="004238B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0 days</w:t>
      </w:r>
      <w:r w:rsidR="008904D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. </w:t>
      </w:r>
      <w:r w:rsidR="00632EE7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A copy of the</w:t>
      </w:r>
      <w:r w:rsidR="004238B4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CLB Timelin</w:t>
      </w:r>
      <w:r w:rsidR="00632EE7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e for 2023 and 2024 is available for review </w:t>
      </w:r>
      <w:hyperlink r:id="rId9" w:history="1">
        <w:r w:rsidR="00632EE7" w:rsidRPr="009F1E84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632EE7" w:rsidRPr="009F1E84">
        <w:rPr>
          <w:rFonts w:ascii="Times New Roman" w:eastAsia="Cambria" w:hAnsi="Times New Roman" w:cs="Times New Roman"/>
          <w:color w:val="0B0B0B"/>
          <w:sz w:val="24"/>
          <w:szCs w:val="24"/>
        </w:rPr>
        <w:t>.</w:t>
      </w:r>
    </w:p>
    <w:p w14:paraId="0BEA0343" w14:textId="41969091" w:rsidR="00CA23B1" w:rsidRPr="00AA2459" w:rsidRDefault="00CA227E" w:rsidP="008904D4">
      <w:pPr>
        <w:spacing w:after="0" w:line="240" w:lineRule="auto"/>
        <w:rPr>
          <w:rFonts w:ascii="Times New Roman" w:eastAsia="Cambria" w:hAnsi="Times New Roman" w:cs="Times New Roman"/>
          <w:b/>
          <w:i/>
          <w:iCs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B0B0B"/>
          <w:sz w:val="24"/>
          <w:szCs w:val="24"/>
        </w:rPr>
        <w:t xml:space="preserve">2023 Year-to-Date </w:t>
      </w:r>
      <w:r w:rsidR="009F1E84" w:rsidRPr="00AA2459">
        <w:rPr>
          <w:rFonts w:ascii="Times New Roman" w:eastAsia="Times New Roman" w:hAnsi="Times New Roman" w:cs="Times New Roman"/>
          <w:b/>
          <w:i/>
          <w:iCs/>
          <w:color w:val="0B0B0B"/>
          <w:sz w:val="24"/>
          <w:szCs w:val="24"/>
        </w:rPr>
        <w:t>Review Results:</w:t>
      </w:r>
      <w:r w:rsidR="00CA23B1" w:rsidRPr="00AA2459">
        <w:rPr>
          <w:rFonts w:ascii="Times New Roman" w:eastAsia="Cambria" w:hAnsi="Times New Roman" w:cs="Times New Roman"/>
          <w:b/>
          <w:i/>
          <w:iCs/>
          <w:color w:val="0B0B0B"/>
          <w:sz w:val="24"/>
          <w:szCs w:val="24"/>
        </w:rPr>
        <w:t xml:space="preserve"> </w:t>
      </w:r>
    </w:p>
    <w:p w14:paraId="6050EFFB" w14:textId="783AC014" w:rsidR="008C2533" w:rsidRPr="006E1601" w:rsidRDefault="008809B2" w:rsidP="00715CE9">
      <w:pPr>
        <w:spacing w:after="240" w:line="240" w:lineRule="auto"/>
        <w:rPr>
          <w:rFonts w:ascii="Times New Roman" w:eastAsia="Cambria" w:hAnsi="Times New Roman" w:cs="Times New Roman"/>
          <w:color w:val="0B0B0B"/>
        </w:rPr>
      </w:pP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OHR uses an 86% standard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based on</w:t>
      </w: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“Yes” </w:t>
      </w: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>responses to discrete questions in the CLB Review Form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to evaluate compliance among </w:t>
      </w: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key metrics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assessing</w:t>
      </w: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provider re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quirements and OHR processes.</w:t>
      </w:r>
      <w:r w:rsidRPr="00AC508E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 w:rsidR="004B72F2">
        <w:rPr>
          <w:rFonts w:ascii="Times New Roman" w:eastAsia="Cambria" w:hAnsi="Times New Roman" w:cs="Times New Roman"/>
          <w:color w:val="0B0B0B"/>
          <w:sz w:val="24"/>
          <w:szCs w:val="24"/>
        </w:rPr>
        <w:t>The following data is based on the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225</w:t>
      </w:r>
      <w:r w:rsidR="004B72F2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reviews</w:t>
      </w:r>
      <w:r w:rsidRPr="008809B2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completed between June and September 2023.</w:t>
      </w:r>
      <w:r w:rsidR="006E1601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 w:rsidR="004B72F2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Note that a comprehensive report of results and recommendations will be published in early 2024, following a full year of reviews (to include cases closed in October, November, and December 2023). </w:t>
      </w:r>
      <w:r w:rsidR="00FD3A20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Remarkably,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the following key metrics </w:t>
      </w:r>
      <w:r w:rsidR="008C2533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that correspond with best-practice guidelines and requirements in the Human Rights Regulations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are below</w:t>
      </w:r>
      <w:r w:rsidR="008C2533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or significantly below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the 86% standard</w:t>
      </w:r>
      <w:r w:rsidR="008C2533">
        <w:rPr>
          <w:rFonts w:ascii="Times New Roman" w:eastAsia="Cambria" w:hAnsi="Times New Roman" w:cs="Times New Roman"/>
          <w:color w:val="0B0B0B"/>
          <w:sz w:val="24"/>
          <w:szCs w:val="24"/>
        </w:rPr>
        <w:t>.</w:t>
      </w:r>
    </w:p>
    <w:p w14:paraId="1A932704" w14:textId="7DE2CEFB" w:rsidR="001F5187" w:rsidRPr="00715CE9" w:rsidRDefault="00715CE9" w:rsidP="001F5187">
      <w:pPr>
        <w:spacing w:after="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CA23B1">
        <w:rPr>
          <w:rFonts w:ascii="Times New Roman" w:eastAsia="Cambria" w:hAnsi="Times New Roman" w:cs="Times New Roman"/>
          <w:noProof/>
          <w:color w:val="0B0B0B"/>
          <w:szCs w:val="24"/>
        </w:rPr>
        <w:drawing>
          <wp:anchor distT="0" distB="0" distL="114300" distR="114300" simplePos="0" relativeHeight="251660288" behindDoc="1" locked="0" layoutInCell="1" allowOverlap="1" wp14:anchorId="2504EB0C" wp14:editId="1DD4EC9E">
            <wp:simplePos x="0" y="0"/>
            <wp:positionH relativeFrom="column">
              <wp:posOffset>-175895</wp:posOffset>
            </wp:positionH>
            <wp:positionV relativeFrom="paragraph">
              <wp:posOffset>12065</wp:posOffset>
            </wp:positionV>
            <wp:extent cx="3455670" cy="2284095"/>
            <wp:effectExtent l="0" t="0" r="11430" b="1905"/>
            <wp:wrapTight wrapText="bothSides">
              <wp:wrapPolygon edited="0">
                <wp:start x="0" y="0"/>
                <wp:lineTo x="0" y="21438"/>
                <wp:lineTo x="21552" y="21438"/>
                <wp:lineTo x="21552" y="0"/>
                <wp:lineTo x="0" y="0"/>
              </wp:wrapPolygon>
            </wp:wrapTight>
            <wp:docPr id="774043656" name="Chart 7740436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Of the </w:t>
      </w:r>
      <w:r w:rsidR="001F5187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(41)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cases reviewed</w:t>
      </w:r>
      <w:r w:rsidR="001F5187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where the provider investigation was not completed within 10 working days, extensions were requested by the provider</w:t>
      </w:r>
      <w:r w:rsidR="001F5187" w:rsidRPr="009E2814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</w:t>
      </w:r>
      <w:r w:rsidR="00E96BD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in 7 cases, </w:t>
      </w:r>
      <w:r w:rsidR="001F5187" w:rsidRPr="009E2814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but not granted by the </w:t>
      </w:r>
      <w:r w:rsidR="00E96BD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A</w:t>
      </w:r>
      <w:r w:rsidR="001F5187" w:rsidRPr="009E2814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dvocate based on “insufficient reasoning</w:t>
      </w:r>
      <w:r w:rsidR="001F5187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”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. </w:t>
      </w:r>
      <w:r w:rsidR="001F5187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Also,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</w:t>
      </w:r>
      <w:r w:rsidR="001F5187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1</w:t>
      </w:r>
      <w:r w:rsidR="00606E5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8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of these investigations were conducted by staff that </w:t>
      </w:r>
      <w:r w:rsidR="001F5187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did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not </w:t>
      </w:r>
      <w:r w:rsidR="001F5187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have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abuse/neglect investigations training</w:t>
      </w:r>
      <w:r w:rsidR="00E96BD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,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and </w:t>
      </w:r>
      <w:r w:rsidR="001F5187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in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</w:t>
      </w:r>
      <w:r w:rsidR="00606E5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14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</w:t>
      </w:r>
      <w:r w:rsidR="001F5187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of these same cases the provider investigator 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also failed to perform other </w:t>
      </w:r>
      <w:r w:rsidR="001F5187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dutie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s </w:t>
      </w:r>
      <w:r w:rsidR="00E96BD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such as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notify the guardian o</w:t>
      </w:r>
      <w:r w:rsidR="001F5187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f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the </w:t>
      </w:r>
      <w:r w:rsidR="00E96BD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complaint </w:t>
      </w:r>
      <w:r w:rsidR="001F5187" w:rsidRPr="00AC508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within 24 hours.</w:t>
      </w:r>
      <w:r w:rsidR="001F5187" w:rsidRPr="009E2814">
        <w:t xml:space="preserve"> </w:t>
      </w:r>
    </w:p>
    <w:p w14:paraId="7747A429" w14:textId="077FD4D2" w:rsidR="00280CE5" w:rsidRPr="008C2533" w:rsidRDefault="00280CE5" w:rsidP="008C2533">
      <w:pPr>
        <w:spacing w:after="0" w:line="240" w:lineRule="auto"/>
        <w:rPr>
          <w:rFonts w:ascii="Times New Roman" w:eastAsia="Cambria" w:hAnsi="Times New Roman" w:cs="Times New Roman"/>
          <w:b/>
          <w:color w:val="0B0B0B"/>
          <w:sz w:val="24"/>
          <w:szCs w:val="24"/>
        </w:rPr>
      </w:pPr>
    </w:p>
    <w:p w14:paraId="2BF61027" w14:textId="51A3F35D" w:rsidR="004238B4" w:rsidRPr="00606E5B" w:rsidRDefault="001F5187" w:rsidP="00183CCE">
      <w:pPr>
        <w:spacing w:line="240" w:lineRule="auto"/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</w:pPr>
      <w:r w:rsidRPr="00CA23B1">
        <w:rPr>
          <w:rFonts w:ascii="Times New Roman" w:eastAsia="Cambria" w:hAnsi="Times New Roman" w:cs="Times New Roman"/>
          <w:noProof/>
          <w:color w:val="0B0B0B"/>
          <w:szCs w:val="24"/>
        </w:rPr>
        <w:drawing>
          <wp:anchor distT="0" distB="0" distL="114300" distR="114300" simplePos="0" relativeHeight="251661312" behindDoc="1" locked="0" layoutInCell="1" allowOverlap="1" wp14:anchorId="4C35158A" wp14:editId="3481443D">
            <wp:simplePos x="0" y="0"/>
            <wp:positionH relativeFrom="page">
              <wp:posOffset>3831590</wp:posOffset>
            </wp:positionH>
            <wp:positionV relativeFrom="paragraph">
              <wp:posOffset>6350</wp:posOffset>
            </wp:positionV>
            <wp:extent cx="3379470" cy="2187575"/>
            <wp:effectExtent l="0" t="0" r="11430" b="3175"/>
            <wp:wrapTight wrapText="bothSides">
              <wp:wrapPolygon edited="0">
                <wp:start x="0" y="0"/>
                <wp:lineTo x="0" y="21443"/>
                <wp:lineTo x="21551" y="21443"/>
                <wp:lineTo x="21551" y="0"/>
                <wp:lineTo x="0" y="0"/>
              </wp:wrapPolygon>
            </wp:wrapTight>
            <wp:docPr id="99086181" name="Chart 990861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43507406"/>
      <w:r w:rsidR="004238B4" w:rsidRPr="00AC508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Of the </w:t>
      </w:r>
      <w:r w:rsidR="00E96BD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>83</w:t>
      </w:r>
      <w:r w:rsidR="004238B4" w:rsidRPr="00AC508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 cases </w:t>
      </w:r>
      <w:r w:rsidR="00E96BD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reviewed where there was no evidence the staff conducting the investigation received </w:t>
      </w:r>
      <w:r w:rsidR="00606E5B">
        <w:rPr>
          <w:rFonts w:ascii="Times New Roman" w:eastAsia="Cambria" w:hAnsi="Times New Roman" w:cs="Times New Roman"/>
          <w:i/>
          <w:color w:val="0B0B0B"/>
          <w:sz w:val="24"/>
          <w:szCs w:val="24"/>
        </w:rPr>
        <w:t>proper</w:t>
      </w:r>
      <w:r w:rsidR="00E96BD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 training,</w:t>
      </w:r>
      <w:r w:rsidR="00606E5B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 </w:t>
      </w:r>
      <w:r w:rsidR="004238B4" w:rsidRPr="00AC508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several providers indicated the investigator watched the </w:t>
      </w:r>
      <w:r w:rsidR="00606E5B">
        <w:rPr>
          <w:rFonts w:ascii="Times New Roman" w:eastAsia="Cambria" w:hAnsi="Times New Roman" w:cs="Times New Roman"/>
          <w:i/>
          <w:color w:val="0B0B0B"/>
          <w:sz w:val="24"/>
          <w:szCs w:val="24"/>
        </w:rPr>
        <w:t>“</w:t>
      </w:r>
      <w:r w:rsidR="0006758D">
        <w:rPr>
          <w:rFonts w:ascii="Times New Roman" w:eastAsia="Cambria" w:hAnsi="Times New Roman" w:cs="Times New Roman"/>
          <w:i/>
          <w:color w:val="0B0B0B"/>
          <w:sz w:val="24"/>
          <w:szCs w:val="24"/>
        </w:rPr>
        <w:t>OHR</w:t>
      </w:r>
      <w:r w:rsidR="004238B4" w:rsidRPr="00AC508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 Investigator Training YouTube video</w:t>
      </w:r>
      <w:r w:rsidR="00606E5B">
        <w:rPr>
          <w:rFonts w:ascii="Times New Roman" w:eastAsia="Cambria" w:hAnsi="Times New Roman" w:cs="Times New Roman"/>
          <w:i/>
          <w:color w:val="0B0B0B"/>
          <w:sz w:val="24"/>
          <w:szCs w:val="24"/>
        </w:rPr>
        <w:t>”</w:t>
      </w:r>
      <w:r w:rsidR="004238B4" w:rsidRPr="00AC508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 but did not</w:t>
      </w:r>
      <w:r w:rsidR="00E96BD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 have evidence of competency testing</w:t>
      </w:r>
      <w:r w:rsidR="004238B4" w:rsidRPr="00AC508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, and this was not considered </w:t>
      </w:r>
      <w:r w:rsidR="00E96BD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>sufficient</w:t>
      </w:r>
      <w:r w:rsidR="004238B4" w:rsidRPr="00AC508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>.</w:t>
      </w:r>
      <w:r w:rsidR="00E96BD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</w:t>
      </w:r>
      <w:r w:rsidR="00606E5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Additionally, </w:t>
      </w:r>
      <w:r w:rsidR="00606E5B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some </w:t>
      </w:r>
      <w:r w:rsidR="00606E5B" w:rsidRPr="00AC508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providers submitted a certificate indicating </w:t>
      </w:r>
      <w:r w:rsidR="00606E5B">
        <w:rPr>
          <w:rFonts w:ascii="Times New Roman" w:eastAsia="Cambria" w:hAnsi="Times New Roman" w:cs="Times New Roman"/>
          <w:i/>
          <w:color w:val="0B0B0B"/>
          <w:sz w:val="24"/>
          <w:szCs w:val="24"/>
        </w:rPr>
        <w:t>“</w:t>
      </w:r>
      <w:r w:rsidR="0006758D">
        <w:rPr>
          <w:rFonts w:ascii="Times New Roman" w:eastAsia="Cambria" w:hAnsi="Times New Roman" w:cs="Times New Roman"/>
          <w:i/>
          <w:color w:val="0B0B0B"/>
          <w:sz w:val="24"/>
          <w:szCs w:val="24"/>
        </w:rPr>
        <w:t>OHR</w:t>
      </w:r>
      <w:r w:rsidR="00606E5B" w:rsidRPr="00AC508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 Investigating Abuse and Neglect: The Basics" training had occurred; however, the training date was after the date that th</w:t>
      </w:r>
      <w:r w:rsidR="00606E5B">
        <w:rPr>
          <w:rFonts w:ascii="Times New Roman" w:eastAsia="Cambria" w:hAnsi="Times New Roman" w:cs="Times New Roman"/>
          <w:i/>
          <w:color w:val="0B0B0B"/>
          <w:sz w:val="24"/>
          <w:szCs w:val="24"/>
        </w:rPr>
        <w:t>e</w:t>
      </w:r>
      <w:r w:rsidR="00606E5B" w:rsidRPr="00AC508E">
        <w:rPr>
          <w:rFonts w:ascii="Times New Roman" w:eastAsia="Cambria" w:hAnsi="Times New Roman" w:cs="Times New Roman"/>
          <w:i/>
          <w:color w:val="0B0B0B"/>
          <w:sz w:val="24"/>
          <w:szCs w:val="24"/>
        </w:rPr>
        <w:t xml:space="preserve"> investigation was conducted. </w:t>
      </w:r>
      <w:bookmarkEnd w:id="0"/>
    </w:p>
    <w:p w14:paraId="11682FF4" w14:textId="77777777" w:rsidR="0098240D" w:rsidRDefault="00324928" w:rsidP="0098240D">
      <w:pPr>
        <w:spacing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715CE9">
        <w:rPr>
          <w:rFonts w:ascii="Times New Roman" w:eastAsia="Cambria" w:hAnsi="Times New Roman" w:cs="Times New Roman"/>
          <w:noProof/>
          <w:color w:val="0B0B0B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2B0F3394" wp14:editId="7C30BC33">
            <wp:simplePos x="0" y="0"/>
            <wp:positionH relativeFrom="column">
              <wp:posOffset>-407670</wp:posOffset>
            </wp:positionH>
            <wp:positionV relativeFrom="paragraph">
              <wp:posOffset>7004</wp:posOffset>
            </wp:positionV>
            <wp:extent cx="3412490" cy="2350770"/>
            <wp:effectExtent l="0" t="0" r="16510" b="11430"/>
            <wp:wrapTight wrapText="bothSides">
              <wp:wrapPolygon edited="0">
                <wp:start x="0" y="0"/>
                <wp:lineTo x="0" y="21530"/>
                <wp:lineTo x="21584" y="21530"/>
                <wp:lineTo x="21584" y="0"/>
                <wp:lineTo x="0" y="0"/>
              </wp:wrapPolygon>
            </wp:wrapTight>
            <wp:docPr id="603829432" name="Chart 6038294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43513324"/>
      <w:r w:rsidR="0092244E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While this key metric is not below 86%, it is significant that i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n </w:t>
      </w:r>
      <w:r w:rsidR="00183CCE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13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of the 1</w:t>
      </w:r>
      <w:r w:rsidR="00183CCE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7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cases where the facts 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identified by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the provider d</w:t>
      </w:r>
      <w:r w:rsidR="0092244E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id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not support the</w:t>
      </w:r>
      <w:r w:rsidR="0092244E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finding, the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OHR</w:t>
      </w:r>
      <w:r w:rsidR="0092244E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Manager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was unable to decide because the provider failed to submit an investigation </w:t>
      </w:r>
      <w:r w:rsidR="0092244E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summary</w:t>
      </w:r>
      <w:r w:rsidR="00FE5611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at all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,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or the </w:t>
      </w:r>
      <w:r w:rsidR="0092244E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documents submitted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lacked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information. 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Of</w:t>
      </w:r>
      <w:r w:rsidR="00183CCE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the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cases where 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there were facts to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review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,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witness statements 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or</w:t>
      </w:r>
      <w:r w:rsidR="005236E8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written notification letters to </w:t>
      </w:r>
      <w:r w:rsidR="00FE5611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the </w:t>
      </w:r>
      <w:r w:rsidR="005236E8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individual/guardian indicat</w:t>
      </w:r>
      <w:r w:rsidR="00FE5611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ing</w:t>
      </w:r>
      <w:r w:rsidR="005236E8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a substantiated finding corroborated these violations. </w:t>
      </w:r>
      <w:r w:rsidR="00FE5611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Some</w:t>
      </w:r>
      <w:r w:rsidR="005236E8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providers </w:t>
      </w:r>
      <w:r w:rsidR="00FE5611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also </w:t>
      </w:r>
      <w:r w:rsidR="005236E8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incorrectly selected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"No" to all abuse types under the Investigation Tab in CHRIS</w:t>
      </w:r>
      <w:r w:rsidR="00FE5611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in spite of evidence of a violation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. 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In all these </w:t>
      </w:r>
      <w:r w:rsidR="00FE5611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cases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, t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he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assigned Advocate </w:t>
      </w:r>
      <w:r w:rsidR="00FE5611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also 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identified the</w:t>
      </w:r>
      <w:r w:rsidR="00FE5611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se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violation</w:t>
      </w:r>
      <w:r w:rsidR="00FE5611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s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in real time and the </w:t>
      </w:r>
      <w:r w:rsidR="00FE5611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original </w:t>
      </w:r>
      <w:r w:rsidR="00D505D5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Abuse Reports</w:t>
      </w:r>
      <w:r w:rsidR="004238B4" w:rsidRPr="00715CE9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reflected that a citation was issued appropriately</w:t>
      </w:r>
      <w:r w:rsidR="004238B4" w:rsidRPr="0092244E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.</w:t>
      </w:r>
      <w:bookmarkStart w:id="2" w:name="_Hlk151928710"/>
      <w:bookmarkEnd w:id="1"/>
    </w:p>
    <w:p w14:paraId="57733B0E" w14:textId="77777777" w:rsidR="00081EB1" w:rsidRDefault="00FE5611" w:rsidP="009953B6">
      <w:pPr>
        <w:spacing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CA23B1">
        <w:rPr>
          <w:rFonts w:ascii="Times New Roman" w:eastAsia="Cambria" w:hAnsi="Times New Roman" w:cs="Times New Roman"/>
          <w:noProof/>
          <w:color w:val="0B0B0B"/>
          <w:szCs w:val="24"/>
        </w:rPr>
        <w:drawing>
          <wp:anchor distT="0" distB="0" distL="114300" distR="114300" simplePos="0" relativeHeight="251663360" behindDoc="1" locked="0" layoutInCell="1" allowOverlap="1" wp14:anchorId="303651C1" wp14:editId="0141FDDB">
            <wp:simplePos x="0" y="0"/>
            <wp:positionH relativeFrom="column">
              <wp:posOffset>-250825</wp:posOffset>
            </wp:positionH>
            <wp:positionV relativeFrom="paragraph">
              <wp:posOffset>310334</wp:posOffset>
            </wp:positionV>
            <wp:extent cx="3232785" cy="2127250"/>
            <wp:effectExtent l="0" t="0" r="5715" b="6350"/>
            <wp:wrapTight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ight>
            <wp:docPr id="721086163" name="Chart 7210861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Hlk143514151"/>
      <w:bookmarkEnd w:id="2"/>
    </w:p>
    <w:p w14:paraId="1F50BA69" w14:textId="5FD7AF94" w:rsidR="00081EB1" w:rsidRDefault="004238B4" w:rsidP="009953B6">
      <w:pPr>
        <w:spacing w:line="240" w:lineRule="auto"/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</w:pP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Of the 4</w:t>
      </w:r>
      <w:r w:rsidR="0098240D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2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cases where the involved staff were not interviewed,</w:t>
      </w:r>
      <w:r w:rsidR="0006758D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OHR Managers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found</w:t>
      </w:r>
      <w:r w:rsidR="001D58B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that in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</w:t>
      </w:r>
      <w:r w:rsidR="0006758D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90%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(</w:t>
      </w:r>
      <w:r w:rsidR="00E504C7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38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) of these cases the individual(s) involved had not been interviewed as well.  Of these, 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nearly all 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(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33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) were co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mpleted 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by staff that were not trained to conduct abuse/neglect investigations and most of these cases were not able to be assessed </w:t>
      </w:r>
      <w:r w:rsidR="001D58B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by the OHR Manager, 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for whether the facts supported the finding because 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an investigation summary was not provided or, 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there was not enough information provided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in the summary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. </w:t>
      </w:r>
      <w:bookmarkEnd w:id="3"/>
    </w:p>
    <w:p w14:paraId="3C4FA5FC" w14:textId="77777777" w:rsidR="001D58BB" w:rsidRPr="001D58BB" w:rsidRDefault="001D58BB" w:rsidP="009953B6">
      <w:pPr>
        <w:spacing w:line="240" w:lineRule="auto"/>
        <w:rPr>
          <w:rFonts w:ascii="Times New Roman" w:eastAsia="Cambria" w:hAnsi="Times New Roman" w:cs="Times New Roman"/>
          <w:i/>
          <w:iCs/>
          <w:color w:val="0B0B0B"/>
          <w:sz w:val="16"/>
          <w:szCs w:val="16"/>
        </w:rPr>
      </w:pPr>
    </w:p>
    <w:p w14:paraId="15030E81" w14:textId="3DD0923B" w:rsidR="009953B6" w:rsidRDefault="00081EB1" w:rsidP="009953B6">
      <w:pPr>
        <w:spacing w:line="240" w:lineRule="auto"/>
        <w:rPr>
          <w:rFonts w:ascii="Times New Roman" w:eastAsia="Cambria" w:hAnsi="Times New Roman" w:cs="Times New Roman"/>
          <w:color w:val="0B0B0B"/>
        </w:rPr>
      </w:pPr>
      <w:r w:rsidRPr="00081EB1">
        <w:rPr>
          <w:rFonts w:ascii="Times New Roman" w:eastAsia="Cambria" w:hAnsi="Times New Roman" w:cs="Times New Roman"/>
          <w:i/>
          <w:iCs/>
          <w:noProof/>
          <w:color w:val="0B0B0B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1ADC765" wp14:editId="23D44F8E">
            <wp:simplePos x="0" y="0"/>
            <wp:positionH relativeFrom="margin">
              <wp:posOffset>3243943</wp:posOffset>
            </wp:positionH>
            <wp:positionV relativeFrom="paragraph">
              <wp:posOffset>5805</wp:posOffset>
            </wp:positionV>
            <wp:extent cx="3336290" cy="2116455"/>
            <wp:effectExtent l="0" t="0" r="16510" b="17145"/>
            <wp:wrapTight wrapText="bothSides">
              <wp:wrapPolygon edited="0">
                <wp:start x="0" y="0"/>
                <wp:lineTo x="0" y="21581"/>
                <wp:lineTo x="21584" y="21581"/>
                <wp:lineTo x="21584" y="0"/>
                <wp:lineTo x="0" y="0"/>
              </wp:wrapPolygon>
            </wp:wrapTight>
            <wp:docPr id="2033581034" name="Chart 20335810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8BB">
        <w:rPr>
          <w:rFonts w:ascii="Times New Roman" w:eastAsia="Cambria" w:hAnsi="Times New Roman" w:cs="Times New Roman"/>
          <w:i/>
          <w:iCs/>
          <w:noProof/>
          <w:color w:val="0B0B0B"/>
          <w:sz w:val="24"/>
          <w:szCs w:val="24"/>
        </w:rPr>
        <w:t>There were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123 cases </w:t>
      </w:r>
      <w:r w:rsidR="001D58B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total where the</w:t>
      </w:r>
      <w:r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involved individuals(s) were not interviewed as part of the provider investigation. Specifically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, the CLB Review Form does allow for a N/A option when providers have </w:t>
      </w:r>
      <w:r w:rsidR="001D58B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appropriate 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documentation </w:t>
      </w:r>
      <w:r w:rsidR="001D58B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about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why a staff or individual did not participate in the investigation. Examples include staff resign</w:t>
      </w:r>
      <w:r w:rsidR="001D58B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ation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and when </w:t>
      </w:r>
      <w:r w:rsidR="001D58B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an 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individual </w:t>
      </w:r>
      <w:r w:rsidR="001D58B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refuses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. It is not acceptable for a provider to simply indicate </w:t>
      </w:r>
      <w:r w:rsidR="001D58BB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>that an</w:t>
      </w:r>
      <w:r w:rsidR="009953B6" w:rsidRPr="00081EB1">
        <w:rPr>
          <w:rFonts w:ascii="Times New Roman" w:eastAsia="Cambria" w:hAnsi="Times New Roman" w:cs="Times New Roman"/>
          <w:i/>
          <w:iCs/>
          <w:color w:val="0B0B0B"/>
          <w:sz w:val="24"/>
          <w:szCs w:val="24"/>
        </w:rPr>
        <w:t xml:space="preserve"> individual is “non-verbal” without also indicating how they attempted to involve the individual in the investigation process</w:t>
      </w:r>
      <w:r w:rsidR="009953B6">
        <w:rPr>
          <w:rFonts w:ascii="Times New Roman" w:eastAsia="Cambria" w:hAnsi="Times New Roman" w:cs="Times New Roman"/>
          <w:color w:val="0B0B0B"/>
        </w:rPr>
        <w:t xml:space="preserve">. </w:t>
      </w:r>
    </w:p>
    <w:p w14:paraId="6B9CEAC6" w14:textId="77777777" w:rsidR="009953B6" w:rsidRDefault="009953B6" w:rsidP="00D739FD">
      <w:pPr>
        <w:pStyle w:val="NoSpacing"/>
        <w:rPr>
          <w:rFonts w:ascii="Times New Roman" w:eastAsia="Cambria" w:hAnsi="Times New Roman" w:cs="Times New Roman"/>
          <w:color w:val="0B0B0B"/>
        </w:rPr>
      </w:pPr>
    </w:p>
    <w:p w14:paraId="5E4EB822" w14:textId="77777777" w:rsidR="00715CE9" w:rsidRDefault="00715CE9" w:rsidP="00D739FD">
      <w:pPr>
        <w:pStyle w:val="NoSpacing"/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</w:pPr>
    </w:p>
    <w:p w14:paraId="0BDDEEF8" w14:textId="77777777" w:rsidR="00715CE9" w:rsidRDefault="00715CE9" w:rsidP="00D739FD">
      <w:pPr>
        <w:pStyle w:val="NoSpacing"/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</w:pPr>
    </w:p>
    <w:p w14:paraId="1E600116" w14:textId="77777777" w:rsidR="00715CE9" w:rsidRDefault="00715CE9" w:rsidP="00D739FD">
      <w:pPr>
        <w:pStyle w:val="NoSpacing"/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</w:pPr>
    </w:p>
    <w:p w14:paraId="19124432" w14:textId="5C254F4C" w:rsidR="00D505D5" w:rsidRPr="00081EB1" w:rsidRDefault="00D505D5" w:rsidP="00D739FD">
      <w:pPr>
        <w:pStyle w:val="NoSpacing"/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</w:pPr>
      <w:r w:rsidRPr="00081EB1"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  <w:lastRenderedPageBreak/>
        <w:t xml:space="preserve">Key </w:t>
      </w:r>
      <w:r w:rsidR="00081EB1"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  <w:t xml:space="preserve">Takeaways &amp; </w:t>
      </w:r>
      <w:r w:rsidRPr="00081EB1"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  <w:t>Reminders</w:t>
      </w:r>
      <w:r w:rsidR="00081EB1"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  <w:t xml:space="preserve"> for Providers</w:t>
      </w:r>
      <w:r w:rsidRPr="00081EB1">
        <w:rPr>
          <w:rFonts w:ascii="Times New Roman" w:eastAsia="Cambria" w:hAnsi="Times New Roman" w:cs="Times New Roman"/>
          <w:b/>
          <w:bCs/>
          <w:i/>
          <w:iCs/>
          <w:color w:val="0B0B0B"/>
          <w:sz w:val="24"/>
          <w:szCs w:val="24"/>
        </w:rPr>
        <w:t>:</w:t>
      </w:r>
    </w:p>
    <w:p w14:paraId="624C95C4" w14:textId="77777777" w:rsidR="00715CE9" w:rsidRPr="00E504C7" w:rsidRDefault="00715CE9" w:rsidP="00715CE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A detailed and systematic investigation must be completed within 10 working days from the date the abuse/neglect complaint is made known to the provider, or the date the potential abuse, neglect or exploitation is discovered by the provider themselves. </w:t>
      </w:r>
    </w:p>
    <w:p w14:paraId="2F1A58C5" w14:textId="77777777" w:rsidR="00715CE9" w:rsidRPr="00E504C7" w:rsidRDefault="00715CE9" w:rsidP="00715CE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Investigations must be done by a person trained to conduct abuse/neglect investigations. </w:t>
      </w:r>
    </w:p>
    <w:p w14:paraId="20CC4BDE" w14:textId="77777777" w:rsidR="00715CE9" w:rsidRPr="00E504C7" w:rsidRDefault="00715CE9" w:rsidP="00715CE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0B0B0B"/>
          <w:sz w:val="24"/>
          <w:szCs w:val="24"/>
        </w:rPr>
        <w:t>OHR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Abuse/Neglect Investigation training a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s well as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industry 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best-practice guidelines indicate all parties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including provider staff and individuals receiving services 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involved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or implicated 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in a complaint should be interviewed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and/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>or asked to provide a written account of what occurred. The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se</w:t>
      </w:r>
      <w:r w:rsidRPr="00E504C7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perspective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s provide important facts and context to be considered when deciding whether the complaint is substantiated.</w:t>
      </w:r>
    </w:p>
    <w:p w14:paraId="5887565E" w14:textId="77777777" w:rsidR="00715CE9" w:rsidRPr="005236E8" w:rsidRDefault="00715CE9" w:rsidP="00715CE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Providers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must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maintain accurate and complete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documentation related to the services they provide. This extends to include accurate and complete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investigation summar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ies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, witness statements 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(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>or notes indicating why a statement was not obtained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>),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copies of notifications to individuals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and 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>guardians about the outcome</w:t>
      </w:r>
      <w:r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and any other evidence collected or documents produced during the abuse/neglect complaint investigation</w:t>
      </w:r>
      <w:r w:rsidRPr="005236E8">
        <w:rPr>
          <w:rFonts w:ascii="Times New Roman" w:eastAsia="Cambria" w:hAnsi="Times New Roman" w:cs="Times New Roman"/>
          <w:color w:val="0B0B0B"/>
          <w:sz w:val="24"/>
          <w:szCs w:val="24"/>
        </w:rPr>
        <w:t>.</w:t>
      </w:r>
    </w:p>
    <w:p w14:paraId="3949C0A9" w14:textId="77777777" w:rsidR="005236E8" w:rsidRPr="00D739FD" w:rsidRDefault="005236E8" w:rsidP="005236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9E69EB" w14:textId="14A44CBD" w:rsidR="00CA23B1" w:rsidRPr="006E1601" w:rsidRDefault="00CA23B1" w:rsidP="00715CE9">
      <w:pPr>
        <w:spacing w:after="240" w:line="240" w:lineRule="auto"/>
        <w:rPr>
          <w:rFonts w:ascii="Times New Roman" w:eastAsia="Cambria" w:hAnsi="Times New Roman" w:cs="Times New Roman"/>
          <w:color w:val="0B0B0B"/>
          <w:sz w:val="24"/>
          <w:szCs w:val="24"/>
        </w:rPr>
      </w:pPr>
      <w:r w:rsidRPr="00081EB1">
        <w:rPr>
          <w:rFonts w:ascii="Times New Roman" w:hAnsi="Times New Roman" w:cs="Times New Roman"/>
          <w:sz w:val="24"/>
          <w:szCs w:val="24"/>
        </w:rPr>
        <w:t xml:space="preserve">We appreciate your commitment to the health, </w:t>
      </w:r>
      <w:r w:rsidR="0098240D" w:rsidRPr="00081EB1">
        <w:rPr>
          <w:rFonts w:ascii="Times New Roman" w:hAnsi="Times New Roman" w:cs="Times New Roman"/>
          <w:sz w:val="24"/>
          <w:szCs w:val="24"/>
        </w:rPr>
        <w:t>safety,</w:t>
      </w:r>
      <w:r w:rsidRPr="00081EB1">
        <w:rPr>
          <w:rFonts w:ascii="Times New Roman" w:hAnsi="Times New Roman" w:cs="Times New Roman"/>
          <w:sz w:val="24"/>
          <w:szCs w:val="24"/>
        </w:rPr>
        <w:t xml:space="preserve"> and rights protections of individuals in our service delivery system</w:t>
      </w:r>
      <w:r w:rsidR="00F44F65" w:rsidRPr="00081EB1">
        <w:rPr>
          <w:rFonts w:ascii="Times New Roman" w:hAnsi="Times New Roman" w:cs="Times New Roman"/>
          <w:sz w:val="24"/>
          <w:szCs w:val="24"/>
        </w:rPr>
        <w:t xml:space="preserve">, </w:t>
      </w:r>
      <w:r w:rsidR="0098240D" w:rsidRPr="00081EB1">
        <w:rPr>
          <w:rFonts w:ascii="Times New Roman" w:hAnsi="Times New Roman" w:cs="Times New Roman"/>
          <w:sz w:val="24"/>
          <w:szCs w:val="24"/>
        </w:rPr>
        <w:t>as we</w:t>
      </w:r>
      <w:r w:rsidR="00F44F65" w:rsidRPr="00081EB1">
        <w:rPr>
          <w:rFonts w:ascii="Times New Roman" w:hAnsi="Times New Roman" w:cs="Times New Roman"/>
          <w:sz w:val="24"/>
          <w:szCs w:val="24"/>
        </w:rPr>
        <w:t xml:space="preserve"> continue efforts to build on </w:t>
      </w:r>
      <w:r w:rsidR="0098240D" w:rsidRPr="00081EB1">
        <w:rPr>
          <w:rFonts w:ascii="Times New Roman" w:hAnsi="Times New Roman" w:cs="Times New Roman"/>
          <w:sz w:val="24"/>
          <w:szCs w:val="24"/>
        </w:rPr>
        <w:t xml:space="preserve">data collected through </w:t>
      </w:r>
      <w:r w:rsidR="00F44F65" w:rsidRPr="00081EB1">
        <w:rPr>
          <w:rFonts w:ascii="Times New Roman" w:hAnsi="Times New Roman" w:cs="Times New Roman"/>
          <w:sz w:val="24"/>
          <w:szCs w:val="24"/>
        </w:rPr>
        <w:t xml:space="preserve">quality </w:t>
      </w:r>
      <w:r w:rsidR="0098240D" w:rsidRPr="00081EB1">
        <w:rPr>
          <w:rFonts w:ascii="Times New Roman" w:hAnsi="Times New Roman" w:cs="Times New Roman"/>
          <w:sz w:val="24"/>
          <w:szCs w:val="24"/>
        </w:rPr>
        <w:t>improvement initiatives like the CLB</w:t>
      </w:r>
      <w:r w:rsidRPr="00081EB1">
        <w:rPr>
          <w:rFonts w:ascii="Times New Roman" w:hAnsi="Times New Roman" w:cs="Times New Roman"/>
          <w:sz w:val="24"/>
          <w:szCs w:val="24"/>
        </w:rPr>
        <w:t xml:space="preserve">. </w:t>
      </w:r>
      <w:r w:rsidR="006E1601">
        <w:rPr>
          <w:rFonts w:ascii="Times New Roman" w:eastAsia="Cambria" w:hAnsi="Times New Roman" w:cs="Times New Roman"/>
          <w:color w:val="0B0B0B"/>
          <w:sz w:val="24"/>
          <w:szCs w:val="24"/>
        </w:rPr>
        <w:t xml:space="preserve"> </w:t>
      </w:r>
      <w:r w:rsidRPr="00081EB1">
        <w:rPr>
          <w:rFonts w:ascii="Times New Roman" w:hAnsi="Times New Roman" w:cs="Times New Roman"/>
          <w:sz w:val="24"/>
          <w:szCs w:val="24"/>
        </w:rPr>
        <w:t xml:space="preserve">If you have questions regarding the information in this memo, please contact your assigned </w:t>
      </w:r>
      <w:r w:rsidR="0098240D" w:rsidRPr="00081EB1">
        <w:rPr>
          <w:rFonts w:ascii="Times New Roman" w:hAnsi="Times New Roman" w:cs="Times New Roman"/>
          <w:sz w:val="24"/>
          <w:szCs w:val="24"/>
        </w:rPr>
        <w:t xml:space="preserve">OHR </w:t>
      </w:r>
      <w:r w:rsidR="00F44F65" w:rsidRPr="00081EB1">
        <w:rPr>
          <w:rFonts w:ascii="Times New Roman" w:hAnsi="Times New Roman" w:cs="Times New Roman"/>
          <w:sz w:val="24"/>
          <w:szCs w:val="24"/>
        </w:rPr>
        <w:t xml:space="preserve">Regional </w:t>
      </w:r>
      <w:r w:rsidR="0098240D" w:rsidRPr="00081EB1">
        <w:rPr>
          <w:rFonts w:ascii="Times New Roman" w:hAnsi="Times New Roman" w:cs="Times New Roman"/>
          <w:sz w:val="24"/>
          <w:szCs w:val="24"/>
        </w:rPr>
        <w:t>Manager</w:t>
      </w:r>
      <w:r w:rsidRPr="00081E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46E8F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B0BDA" w:rsidRPr="00D739FD" w:rsidSect="008B0BDA">
      <w:type w:val="continuous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7514" w14:textId="77777777" w:rsidR="002A7A64" w:rsidRDefault="002A7A64" w:rsidP="00AC508E">
      <w:pPr>
        <w:spacing w:after="0" w:line="240" w:lineRule="auto"/>
      </w:pPr>
      <w:r>
        <w:separator/>
      </w:r>
    </w:p>
  </w:endnote>
  <w:endnote w:type="continuationSeparator" w:id="0">
    <w:p w14:paraId="6AF69BD6" w14:textId="77777777" w:rsidR="002A7A64" w:rsidRDefault="002A7A64" w:rsidP="00AC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1B7C" w14:textId="77777777" w:rsidR="00AC508E" w:rsidRPr="00AC508E" w:rsidRDefault="00AC508E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</w:rPr>
    </w:pPr>
    <w:r w:rsidRPr="00AC508E">
      <w:rPr>
        <w:rFonts w:ascii="Times New Roman" w:hAnsi="Times New Roman" w:cs="Times New Roman"/>
        <w:spacing w:val="60"/>
      </w:rPr>
      <w:t>Page</w:t>
    </w:r>
    <w:r w:rsidRPr="00AC508E">
      <w:rPr>
        <w:rFonts w:ascii="Times New Roman" w:hAnsi="Times New Roman" w:cs="Times New Roman"/>
      </w:rPr>
      <w:t xml:space="preserve"> </w:t>
    </w:r>
    <w:r w:rsidRPr="00AC508E">
      <w:rPr>
        <w:rFonts w:ascii="Times New Roman" w:hAnsi="Times New Roman" w:cs="Times New Roman"/>
      </w:rPr>
      <w:fldChar w:fldCharType="begin"/>
    </w:r>
    <w:r w:rsidRPr="00AC508E">
      <w:rPr>
        <w:rFonts w:ascii="Times New Roman" w:hAnsi="Times New Roman" w:cs="Times New Roman"/>
      </w:rPr>
      <w:instrText xml:space="preserve"> PAGE   \* MERGEFORMAT </w:instrText>
    </w:r>
    <w:r w:rsidRPr="00AC508E">
      <w:rPr>
        <w:rFonts w:ascii="Times New Roman" w:hAnsi="Times New Roman" w:cs="Times New Roman"/>
      </w:rPr>
      <w:fldChar w:fldCharType="separate"/>
    </w:r>
    <w:r w:rsidRPr="00AC508E">
      <w:rPr>
        <w:rFonts w:ascii="Times New Roman" w:hAnsi="Times New Roman" w:cs="Times New Roman"/>
        <w:noProof/>
      </w:rPr>
      <w:t>1</w:t>
    </w:r>
    <w:r w:rsidRPr="00AC508E">
      <w:rPr>
        <w:rFonts w:ascii="Times New Roman" w:hAnsi="Times New Roman" w:cs="Times New Roman"/>
      </w:rPr>
      <w:fldChar w:fldCharType="end"/>
    </w:r>
    <w:r w:rsidRPr="00AC508E">
      <w:rPr>
        <w:rFonts w:ascii="Times New Roman" w:hAnsi="Times New Roman" w:cs="Times New Roman"/>
      </w:rPr>
      <w:t xml:space="preserve"> | </w:t>
    </w:r>
    <w:r w:rsidRPr="00AC508E">
      <w:rPr>
        <w:rFonts w:ascii="Times New Roman" w:hAnsi="Times New Roman" w:cs="Times New Roman"/>
      </w:rPr>
      <w:fldChar w:fldCharType="begin"/>
    </w:r>
    <w:r w:rsidRPr="00AC508E">
      <w:rPr>
        <w:rFonts w:ascii="Times New Roman" w:hAnsi="Times New Roman" w:cs="Times New Roman"/>
      </w:rPr>
      <w:instrText xml:space="preserve"> NUMPAGES  \* Arabic  \* MERGEFORMAT </w:instrText>
    </w:r>
    <w:r w:rsidRPr="00AC508E">
      <w:rPr>
        <w:rFonts w:ascii="Times New Roman" w:hAnsi="Times New Roman" w:cs="Times New Roman"/>
      </w:rPr>
      <w:fldChar w:fldCharType="separate"/>
    </w:r>
    <w:r w:rsidRPr="00AC508E">
      <w:rPr>
        <w:rFonts w:ascii="Times New Roman" w:hAnsi="Times New Roman" w:cs="Times New Roman"/>
        <w:noProof/>
      </w:rPr>
      <w:t>1</w:t>
    </w:r>
    <w:r w:rsidRPr="00AC508E">
      <w:rPr>
        <w:rFonts w:ascii="Times New Roman" w:hAnsi="Times New Roman" w:cs="Times New Roman"/>
      </w:rPr>
      <w:fldChar w:fldCharType="end"/>
    </w:r>
  </w:p>
  <w:p w14:paraId="57B0E1C7" w14:textId="77777777" w:rsidR="00AC508E" w:rsidRDefault="00AC5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E2A1" w14:textId="77777777" w:rsidR="002A7A64" w:rsidRDefault="002A7A64" w:rsidP="00AC508E">
      <w:pPr>
        <w:spacing w:after="0" w:line="240" w:lineRule="auto"/>
      </w:pPr>
      <w:r>
        <w:separator/>
      </w:r>
    </w:p>
  </w:footnote>
  <w:footnote w:type="continuationSeparator" w:id="0">
    <w:p w14:paraId="6DEDDCD0" w14:textId="77777777" w:rsidR="002A7A64" w:rsidRDefault="002A7A64" w:rsidP="00AC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AA5"/>
    <w:multiLevelType w:val="hybridMultilevel"/>
    <w:tmpl w:val="5A1091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41BB"/>
    <w:multiLevelType w:val="hybridMultilevel"/>
    <w:tmpl w:val="DFA0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08BA"/>
    <w:multiLevelType w:val="hybridMultilevel"/>
    <w:tmpl w:val="05608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169EF"/>
    <w:multiLevelType w:val="hybridMultilevel"/>
    <w:tmpl w:val="8A182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5514">
    <w:abstractNumId w:val="0"/>
  </w:num>
  <w:num w:numId="2" w16cid:durableId="1119226357">
    <w:abstractNumId w:val="2"/>
  </w:num>
  <w:num w:numId="3" w16cid:durableId="1397245702">
    <w:abstractNumId w:val="3"/>
  </w:num>
  <w:num w:numId="4" w16cid:durableId="2145389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C6"/>
    <w:rsid w:val="00051EDD"/>
    <w:rsid w:val="0006758D"/>
    <w:rsid w:val="00081EB1"/>
    <w:rsid w:val="00136796"/>
    <w:rsid w:val="001459BA"/>
    <w:rsid w:val="001809C1"/>
    <w:rsid w:val="00183CCE"/>
    <w:rsid w:val="001A5D50"/>
    <w:rsid w:val="001D58BB"/>
    <w:rsid w:val="001F5187"/>
    <w:rsid w:val="00232C82"/>
    <w:rsid w:val="0025721F"/>
    <w:rsid w:val="00280CE5"/>
    <w:rsid w:val="0029351A"/>
    <w:rsid w:val="002A5A1A"/>
    <w:rsid w:val="002A7A64"/>
    <w:rsid w:val="00324928"/>
    <w:rsid w:val="003969CD"/>
    <w:rsid w:val="003D77A7"/>
    <w:rsid w:val="003E1613"/>
    <w:rsid w:val="004238B4"/>
    <w:rsid w:val="004808F5"/>
    <w:rsid w:val="00481D27"/>
    <w:rsid w:val="00492E6F"/>
    <w:rsid w:val="004B5545"/>
    <w:rsid w:val="004B72F2"/>
    <w:rsid w:val="004C6238"/>
    <w:rsid w:val="005236E8"/>
    <w:rsid w:val="005248C6"/>
    <w:rsid w:val="00596C5B"/>
    <w:rsid w:val="005D0ECA"/>
    <w:rsid w:val="005F71C0"/>
    <w:rsid w:val="00606E5B"/>
    <w:rsid w:val="00610522"/>
    <w:rsid w:val="00625EB3"/>
    <w:rsid w:val="00632EE7"/>
    <w:rsid w:val="00635204"/>
    <w:rsid w:val="00642F33"/>
    <w:rsid w:val="00665A22"/>
    <w:rsid w:val="006E1601"/>
    <w:rsid w:val="006E7E9D"/>
    <w:rsid w:val="00715CE9"/>
    <w:rsid w:val="00716499"/>
    <w:rsid w:val="00732150"/>
    <w:rsid w:val="0074255D"/>
    <w:rsid w:val="007469E7"/>
    <w:rsid w:val="00796BFB"/>
    <w:rsid w:val="007E2467"/>
    <w:rsid w:val="007E481E"/>
    <w:rsid w:val="00843CE7"/>
    <w:rsid w:val="00861F58"/>
    <w:rsid w:val="008809B2"/>
    <w:rsid w:val="00886874"/>
    <w:rsid w:val="008904D4"/>
    <w:rsid w:val="008B0BDA"/>
    <w:rsid w:val="008C2533"/>
    <w:rsid w:val="008E4E5D"/>
    <w:rsid w:val="0092244E"/>
    <w:rsid w:val="00924DDC"/>
    <w:rsid w:val="0094442E"/>
    <w:rsid w:val="00967A8B"/>
    <w:rsid w:val="0098240D"/>
    <w:rsid w:val="009953B6"/>
    <w:rsid w:val="009A3386"/>
    <w:rsid w:val="009C38C1"/>
    <w:rsid w:val="009C672A"/>
    <w:rsid w:val="009E2814"/>
    <w:rsid w:val="009F1E84"/>
    <w:rsid w:val="00AA2459"/>
    <w:rsid w:val="00AC508E"/>
    <w:rsid w:val="00B05959"/>
    <w:rsid w:val="00B060D7"/>
    <w:rsid w:val="00B448A6"/>
    <w:rsid w:val="00C61AFF"/>
    <w:rsid w:val="00CA227E"/>
    <w:rsid w:val="00CA23B1"/>
    <w:rsid w:val="00CB5C89"/>
    <w:rsid w:val="00CF7F68"/>
    <w:rsid w:val="00D44C52"/>
    <w:rsid w:val="00D505D5"/>
    <w:rsid w:val="00D60FC6"/>
    <w:rsid w:val="00D71317"/>
    <w:rsid w:val="00D739FD"/>
    <w:rsid w:val="00D91949"/>
    <w:rsid w:val="00DF7501"/>
    <w:rsid w:val="00E504C7"/>
    <w:rsid w:val="00E7282F"/>
    <w:rsid w:val="00E72D7C"/>
    <w:rsid w:val="00E962F1"/>
    <w:rsid w:val="00E96BDE"/>
    <w:rsid w:val="00F44F65"/>
    <w:rsid w:val="00FD3A20"/>
    <w:rsid w:val="00FE5611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47CA"/>
  <w15:docId w15:val="{643F2DCA-45C0-4F93-8660-16CAAD6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0FC6"/>
    <w:pPr>
      <w:widowControl w:val="0"/>
      <w:spacing w:after="0" w:line="0" w:lineRule="atLeast"/>
      <w:jc w:val="center"/>
    </w:pPr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D60FC6"/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paragraph" w:styleId="NoSpacing">
    <w:name w:val="No Spacing"/>
    <w:uiPriority w:val="1"/>
    <w:qFormat/>
    <w:rsid w:val="00D739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8E"/>
  </w:style>
  <w:style w:type="paragraph" w:styleId="Footer">
    <w:name w:val="footer"/>
    <w:basedOn w:val="Normal"/>
    <w:link w:val="FooterChar"/>
    <w:uiPriority w:val="99"/>
    <w:unhideWhenUsed/>
    <w:rsid w:val="00AC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8E"/>
  </w:style>
  <w:style w:type="character" w:styleId="Hyperlink">
    <w:name w:val="Hyperlink"/>
    <w:basedOn w:val="DefaultParagraphFont"/>
    <w:uiPriority w:val="99"/>
    <w:semiHidden/>
    <w:unhideWhenUsed/>
    <w:rsid w:val="00632E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5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9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1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dbhds.virginia.gov/clinical-and-quality-management/human-rights/data-statistics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400"/>
              <a:t>Provider Investigation Completed Within 10 Working Days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AE9-46A4-8605-B1E9E0D5D6A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AE9-46A4-8605-B1E9E0D5D6A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AE9-46A4-8605-B1E9E0D5D6A9}"/>
                </c:ext>
              </c:extLst>
            </c:dLbl>
            <c:numFmt formatCode="@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Jan-Mar</c:v>
                </c:pt>
                <c:pt idx="1">
                  <c:v>Apr - June</c:v>
                </c:pt>
                <c:pt idx="2">
                  <c:v>July - Sept</c:v>
                </c:pt>
              </c:strCache>
            </c:strRef>
          </c:cat>
          <c:val>
            <c:numRef>
              <c:f>Sheet1!$B$2:$B$4</c:f>
              <c:numCache>
                <c:formatCode>0_);\(0\)</c:formatCode>
                <c:ptCount val="3"/>
                <c:pt idx="0">
                  <c:v>62</c:v>
                </c:pt>
                <c:pt idx="1">
                  <c:v>61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E9-46A4-8605-B1E9E0D5D6A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Jan-Mar</c:v>
                </c:pt>
                <c:pt idx="1">
                  <c:v>Apr - June</c:v>
                </c:pt>
                <c:pt idx="2">
                  <c:v>July - Sept</c:v>
                </c:pt>
              </c:strCache>
            </c:strRef>
          </c:cat>
          <c:val>
            <c:numRef>
              <c:f>Sheet1!$C$2:$C$4</c:f>
              <c:numCache>
                <c:formatCode>0_);\(0\)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E9-46A4-8605-B1E9E0D5D6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84389503"/>
        <c:axId val="584387583"/>
      </c:barChart>
      <c:catAx>
        <c:axId val="584389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387583"/>
        <c:crosses val="autoZero"/>
        <c:auto val="1"/>
        <c:lblAlgn val="ctr"/>
        <c:lblOffset val="100"/>
        <c:noMultiLvlLbl val="0"/>
      </c:catAx>
      <c:valAx>
        <c:axId val="584387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 b="0"/>
                  <a:t># of</a:t>
                </a:r>
                <a:r>
                  <a:rPr lang="en-US" sz="800" b="0" baseline="0"/>
                  <a:t> </a:t>
                </a:r>
                <a:r>
                  <a:rPr lang="en-US" sz="800" b="0"/>
                  <a:t>Cases Reviewed</a:t>
                </a:r>
              </a:p>
            </c:rich>
          </c:tx>
          <c:layout>
            <c:manualLayout>
              <c:xMode val="edge"/>
              <c:yMode val="edge"/>
              <c:x val="3.6751194413818446E-2"/>
              <c:y val="0.390325271059216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_);\(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38950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400"/>
              <a:t>Trained Provider Investigator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FD3-4A71-A27D-920D538BE20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FD3-4A71-A27D-920D538BE20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FD3-4A71-A27D-920D538BE205}"/>
                </c:ext>
              </c:extLst>
            </c:dLbl>
            <c:numFmt formatCode="@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Jan-Mar</c:v>
                </c:pt>
                <c:pt idx="1">
                  <c:v>Apr - June</c:v>
                </c:pt>
                <c:pt idx="2">
                  <c:v>July - Sept</c:v>
                </c:pt>
              </c:strCache>
            </c:strRef>
          </c:cat>
          <c:val>
            <c:numRef>
              <c:f>Sheet1!$B$2:$B$4</c:f>
              <c:numCache>
                <c:formatCode>0_);\(0\)</c:formatCode>
                <c:ptCount val="3"/>
                <c:pt idx="0">
                  <c:v>48</c:v>
                </c:pt>
                <c:pt idx="1">
                  <c:v>45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D3-4A71-A27D-920D538BE20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Jan-Mar</c:v>
                </c:pt>
                <c:pt idx="1">
                  <c:v>Apr - June</c:v>
                </c:pt>
                <c:pt idx="2">
                  <c:v>July - Sept</c:v>
                </c:pt>
              </c:strCache>
            </c:strRef>
          </c:cat>
          <c:val>
            <c:numRef>
              <c:f>Sheet1!$C$2:$C$4</c:f>
              <c:numCache>
                <c:formatCode>0_);\(0\)</c:formatCode>
                <c:ptCount val="3"/>
                <c:pt idx="0">
                  <c:v>27</c:v>
                </c:pt>
                <c:pt idx="1">
                  <c:v>30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D3-4A71-A27D-920D538BE2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84389503"/>
        <c:axId val="584387583"/>
      </c:barChart>
      <c:catAx>
        <c:axId val="584389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387583"/>
        <c:crosses val="autoZero"/>
        <c:auto val="1"/>
        <c:lblAlgn val="ctr"/>
        <c:lblOffset val="100"/>
        <c:noMultiLvlLbl val="0"/>
      </c:catAx>
      <c:valAx>
        <c:axId val="584387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 b="0"/>
                  <a:t># of Cases Reviewed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_);\(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38950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400"/>
              <a:t>Facts of Provider Investigation </a:t>
            </a:r>
          </a:p>
          <a:p>
            <a:pPr>
              <a:defRPr sz="1400"/>
            </a:pPr>
            <a:r>
              <a:rPr lang="en-US" sz="1400"/>
              <a:t>Support</a:t>
            </a:r>
            <a:r>
              <a:rPr lang="en-US" sz="1400" baseline="0"/>
              <a:t> </a:t>
            </a:r>
            <a:r>
              <a:rPr lang="en-US" sz="1400"/>
              <a:t>Finding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87F-4DE0-91E7-7951493D44B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87F-4DE0-91E7-7951493D44B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87F-4DE0-91E7-7951493D44B4}"/>
                </c:ext>
              </c:extLst>
            </c:dLbl>
            <c:numFmt formatCode="@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Jan-Mar</c:v>
                </c:pt>
                <c:pt idx="1">
                  <c:v>Apr - June</c:v>
                </c:pt>
                <c:pt idx="2">
                  <c:v>July - Sept</c:v>
                </c:pt>
              </c:strCache>
            </c:strRef>
          </c:cat>
          <c:val>
            <c:numRef>
              <c:f>Sheet1!$B$2:$B$4</c:f>
              <c:numCache>
                <c:formatCode>0_);\(0\)</c:formatCode>
                <c:ptCount val="3"/>
                <c:pt idx="0">
                  <c:v>65</c:v>
                </c:pt>
                <c:pt idx="1">
                  <c:v>70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7F-4DE0-91E7-7951493D44B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Jan-Mar</c:v>
                </c:pt>
                <c:pt idx="1">
                  <c:v>Apr - June</c:v>
                </c:pt>
                <c:pt idx="2">
                  <c:v>July - Sept</c:v>
                </c:pt>
              </c:strCache>
            </c:strRef>
          </c:cat>
          <c:val>
            <c:numRef>
              <c:f>Sheet1!$C$2:$C$4</c:f>
              <c:numCache>
                <c:formatCode>0_);\(0\)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7F-4DE0-91E7-7951493D44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84389503"/>
        <c:axId val="584387583"/>
      </c:barChart>
      <c:catAx>
        <c:axId val="584389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387583"/>
        <c:crosses val="autoZero"/>
        <c:auto val="1"/>
        <c:lblAlgn val="ctr"/>
        <c:lblOffset val="100"/>
        <c:noMultiLvlLbl val="0"/>
      </c:catAx>
      <c:valAx>
        <c:axId val="584387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 b="0"/>
                  <a:t># of Cases Reviewed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_);\(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38950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400"/>
              <a:t>Involved </a:t>
            </a:r>
            <a:r>
              <a:rPr lang="en-US" sz="1400" u="sng"/>
              <a:t>Staff</a:t>
            </a:r>
            <a:r>
              <a:rPr lang="en-US" sz="1400"/>
              <a:t> Interviewed</a:t>
            </a:r>
            <a:r>
              <a:rPr lang="en-US" sz="1400" baseline="0"/>
              <a:t> or </a:t>
            </a:r>
            <a:r>
              <a:rPr lang="en-US" sz="1400"/>
              <a:t>Submitted Statements</a:t>
            </a:r>
          </a:p>
        </c:rich>
      </c:tx>
      <c:layout>
        <c:manualLayout>
          <c:xMode val="edge"/>
          <c:yMode val="edge"/>
          <c:x val="0.15934916501971119"/>
          <c:y val="2.8880866425992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337-4064-A531-10060009EE0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337-4064-A531-10060009EE0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337-4064-A531-10060009EE0D}"/>
                </c:ext>
              </c:extLst>
            </c:dLbl>
            <c:numFmt formatCode="@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Jan-Mar</c:v>
                </c:pt>
                <c:pt idx="1">
                  <c:v>Apr - June</c:v>
                </c:pt>
                <c:pt idx="2">
                  <c:v>July - Sept</c:v>
                </c:pt>
              </c:strCache>
            </c:strRef>
          </c:cat>
          <c:val>
            <c:numRef>
              <c:f>Sheet1!$B$2:$B$4</c:f>
              <c:numCache>
                <c:formatCode>0_);\(0\)</c:formatCode>
                <c:ptCount val="3"/>
                <c:pt idx="0">
                  <c:v>53</c:v>
                </c:pt>
                <c:pt idx="1">
                  <c:v>57</c:v>
                </c:pt>
                <c:pt idx="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37-4064-A531-10060009EE0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Jan-Mar</c:v>
                </c:pt>
                <c:pt idx="1">
                  <c:v>Apr - June</c:v>
                </c:pt>
                <c:pt idx="2">
                  <c:v>July - Sept</c:v>
                </c:pt>
              </c:strCache>
            </c:strRef>
          </c:cat>
          <c:val>
            <c:numRef>
              <c:f>Sheet1!$C$2:$C$4</c:f>
              <c:numCache>
                <c:formatCode>0_);\(0\)</c:formatCode>
                <c:ptCount val="3"/>
                <c:pt idx="0">
                  <c:v>22</c:v>
                </c:pt>
                <c:pt idx="1">
                  <c:v>18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37-4064-A531-10060009EE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84389503"/>
        <c:axId val="584387583"/>
      </c:barChart>
      <c:catAx>
        <c:axId val="584389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387583"/>
        <c:crosses val="autoZero"/>
        <c:auto val="1"/>
        <c:lblAlgn val="ctr"/>
        <c:lblOffset val="100"/>
        <c:noMultiLvlLbl val="0"/>
      </c:catAx>
      <c:valAx>
        <c:axId val="584387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 b="0"/>
                  <a:t># of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_);\(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38950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400"/>
              <a:t>Involved </a:t>
            </a:r>
            <a:r>
              <a:rPr lang="en-US" sz="1400" u="sng"/>
              <a:t>Individuals</a:t>
            </a:r>
            <a:r>
              <a:rPr lang="en-US" sz="1400"/>
              <a:t> Interviewed</a:t>
            </a:r>
            <a:r>
              <a:rPr lang="en-US" sz="1400" baseline="0"/>
              <a:t> or </a:t>
            </a:r>
            <a:r>
              <a:rPr lang="en-US" sz="1400"/>
              <a:t>Submitted Statements</a:t>
            </a:r>
          </a:p>
        </c:rich>
      </c:tx>
      <c:layout>
        <c:manualLayout>
          <c:xMode val="edge"/>
          <c:yMode val="edge"/>
          <c:x val="0.15934902367973233"/>
          <c:y val="2.28351217282845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9AF-480B-8600-4E7AEE6456F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9AF-480B-8600-4E7AEE6456F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9AF-480B-8600-4E7AEE6456FC}"/>
                </c:ext>
              </c:extLst>
            </c:dLbl>
            <c:numFmt formatCode="@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Jan-Mar</c:v>
                </c:pt>
                <c:pt idx="1">
                  <c:v>Apr - June</c:v>
                </c:pt>
                <c:pt idx="2">
                  <c:v>July - Sept</c:v>
                </c:pt>
              </c:strCache>
            </c:strRef>
          </c:cat>
          <c:val>
            <c:numRef>
              <c:f>Sheet1!$B$2:$B$4</c:f>
              <c:numCache>
                <c:formatCode>0_);\(0\)</c:formatCode>
                <c:ptCount val="3"/>
                <c:pt idx="0">
                  <c:v>36</c:v>
                </c:pt>
                <c:pt idx="1">
                  <c:v>26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AF-480B-8600-4E7AEE6456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Jan-Mar</c:v>
                </c:pt>
                <c:pt idx="1">
                  <c:v>Apr - June</c:v>
                </c:pt>
                <c:pt idx="2">
                  <c:v>July - Sept</c:v>
                </c:pt>
              </c:strCache>
            </c:strRef>
          </c:cat>
          <c:val>
            <c:numRef>
              <c:f>Sheet1!$C$2:$C$4</c:f>
              <c:numCache>
                <c:formatCode>0_);\(0\)</c:formatCode>
                <c:ptCount val="3"/>
                <c:pt idx="0">
                  <c:v>39</c:v>
                </c:pt>
                <c:pt idx="1">
                  <c:v>49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AF-480B-8600-4E7AEE6456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84389503"/>
        <c:axId val="584387583"/>
      </c:barChart>
      <c:catAx>
        <c:axId val="584389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387583"/>
        <c:crosses val="autoZero"/>
        <c:auto val="1"/>
        <c:lblAlgn val="ctr"/>
        <c:lblOffset val="100"/>
        <c:noMultiLvlLbl val="0"/>
      </c:catAx>
      <c:valAx>
        <c:axId val="584387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 b="0"/>
                  <a:t># of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_);\(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38950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wtg77908</dc:creator>
  <cp:lastModifiedBy>Goldman, Taneika (DBHDS)</cp:lastModifiedBy>
  <cp:revision>2</cp:revision>
  <dcterms:created xsi:type="dcterms:W3CDTF">2023-11-27T17:09:00Z</dcterms:created>
  <dcterms:modified xsi:type="dcterms:W3CDTF">2023-11-27T17:09:00Z</dcterms:modified>
</cp:coreProperties>
</file>