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5A654" w14:textId="177717B1" w:rsidR="003A0C0F" w:rsidRDefault="003A0C0F" w:rsidP="00A206A3">
      <w:pPr>
        <w:jc w:val="center"/>
        <w:rPr>
          <w:rFonts w:asciiTheme="minorHAnsi" w:hAnsiTheme="minorHAnsi" w:cstheme="minorHAnsi"/>
          <w:b/>
          <w:bCs/>
        </w:rPr>
      </w:pPr>
    </w:p>
    <w:p w14:paraId="4ED48FAE" w14:textId="4B98F0C2" w:rsidR="00A36886" w:rsidRDefault="00A36886" w:rsidP="00A206A3">
      <w:pPr>
        <w:jc w:val="center"/>
        <w:rPr>
          <w:rFonts w:asciiTheme="minorHAnsi" w:hAnsiTheme="minorHAnsi" w:cstheme="minorHAnsi"/>
          <w:b/>
          <w:bCs/>
        </w:rPr>
      </w:pPr>
    </w:p>
    <w:p w14:paraId="4559278E" w14:textId="084F4DB4" w:rsidR="00A36886" w:rsidRDefault="00A36886" w:rsidP="00A206A3">
      <w:pPr>
        <w:jc w:val="center"/>
        <w:rPr>
          <w:rFonts w:asciiTheme="minorHAnsi" w:hAnsiTheme="minorHAnsi" w:cstheme="minorHAnsi"/>
          <w:b/>
          <w:bCs/>
        </w:rPr>
      </w:pPr>
    </w:p>
    <w:p w14:paraId="6564A112" w14:textId="77777777" w:rsidR="00A36886" w:rsidRDefault="00A36886" w:rsidP="00A206A3">
      <w:pPr>
        <w:jc w:val="center"/>
        <w:rPr>
          <w:rFonts w:asciiTheme="minorHAnsi" w:hAnsiTheme="minorHAnsi" w:cstheme="minorHAnsi"/>
          <w:b/>
          <w:bCs/>
        </w:rPr>
      </w:pPr>
    </w:p>
    <w:p w14:paraId="155DEE58" w14:textId="4F8D668E" w:rsidR="00CF16CE" w:rsidRDefault="00CF16CE" w:rsidP="00A206A3">
      <w:pPr>
        <w:jc w:val="center"/>
        <w:rPr>
          <w:rFonts w:asciiTheme="minorHAnsi" w:hAnsiTheme="minorHAnsi" w:cstheme="minorHAnsi"/>
          <w:b/>
          <w:bCs/>
        </w:rPr>
      </w:pPr>
    </w:p>
    <w:p w14:paraId="7EA44573" w14:textId="7F09543F" w:rsidR="00CF16CE" w:rsidRDefault="00CF16CE" w:rsidP="00A206A3">
      <w:pPr>
        <w:jc w:val="center"/>
        <w:rPr>
          <w:rFonts w:asciiTheme="minorHAnsi" w:hAnsiTheme="minorHAnsi" w:cstheme="minorHAnsi"/>
          <w:b/>
          <w:bCs/>
        </w:rPr>
      </w:pPr>
    </w:p>
    <w:p w14:paraId="23F1DE50" w14:textId="10EA6C6C" w:rsidR="00CF16CE" w:rsidRDefault="00CF16CE" w:rsidP="00A206A3">
      <w:pPr>
        <w:jc w:val="center"/>
        <w:rPr>
          <w:rFonts w:asciiTheme="minorHAnsi" w:hAnsiTheme="minorHAnsi" w:cstheme="minorHAnsi"/>
          <w:b/>
          <w:bCs/>
        </w:rPr>
      </w:pPr>
    </w:p>
    <w:p w14:paraId="0C4E180C" w14:textId="77777777" w:rsidR="00CF16CE" w:rsidRDefault="00CF16CE" w:rsidP="00A206A3">
      <w:pPr>
        <w:jc w:val="center"/>
        <w:rPr>
          <w:rFonts w:asciiTheme="minorHAnsi" w:hAnsiTheme="minorHAnsi" w:cstheme="minorHAnsi"/>
          <w:b/>
          <w:bCs/>
        </w:rPr>
      </w:pPr>
    </w:p>
    <w:p w14:paraId="00D565EE" w14:textId="77777777" w:rsidR="003A0C0F" w:rsidRDefault="003A0C0F" w:rsidP="00A206A3">
      <w:pPr>
        <w:jc w:val="center"/>
        <w:rPr>
          <w:rFonts w:asciiTheme="minorHAnsi" w:hAnsiTheme="minorHAnsi" w:cstheme="minorHAnsi"/>
          <w:b/>
          <w:bCs/>
        </w:rPr>
      </w:pPr>
    </w:p>
    <w:p w14:paraId="36EA67A8" w14:textId="77777777" w:rsidR="003A0C0F" w:rsidRPr="005021D3" w:rsidRDefault="003A0C0F" w:rsidP="00A206A3">
      <w:pPr>
        <w:jc w:val="center"/>
        <w:rPr>
          <w:rFonts w:asciiTheme="minorHAnsi" w:hAnsiTheme="minorHAnsi" w:cstheme="minorHAnsi"/>
          <w:b/>
          <w:bCs/>
          <w:sz w:val="28"/>
          <w:szCs w:val="28"/>
        </w:rPr>
      </w:pPr>
    </w:p>
    <w:p w14:paraId="6625699A" w14:textId="0D7B65B6" w:rsidR="00CF16CE" w:rsidRPr="005021D3" w:rsidRDefault="003A0C0F" w:rsidP="00A206A3">
      <w:pPr>
        <w:contextualSpacing/>
        <w:jc w:val="center"/>
        <w:rPr>
          <w:rFonts w:asciiTheme="minorHAnsi" w:hAnsiTheme="minorHAnsi" w:cstheme="minorHAnsi"/>
          <w:b/>
          <w:bCs/>
          <w:sz w:val="28"/>
          <w:szCs w:val="28"/>
        </w:rPr>
      </w:pPr>
      <w:r w:rsidRPr="005021D3">
        <w:rPr>
          <w:rFonts w:asciiTheme="minorHAnsi" w:hAnsiTheme="minorHAnsi" w:cstheme="minorHAnsi"/>
          <w:b/>
          <w:bCs/>
          <w:sz w:val="28"/>
          <w:szCs w:val="28"/>
        </w:rPr>
        <w:t xml:space="preserve">Behavioral Health Index </w:t>
      </w:r>
      <w:r w:rsidR="00A72822">
        <w:rPr>
          <w:rFonts w:asciiTheme="minorHAnsi" w:hAnsiTheme="minorHAnsi" w:cstheme="minorHAnsi"/>
          <w:b/>
          <w:bCs/>
          <w:sz w:val="28"/>
          <w:szCs w:val="28"/>
        </w:rPr>
        <w:t xml:space="preserve">-2 </w:t>
      </w:r>
    </w:p>
    <w:p w14:paraId="3FA95FC5" w14:textId="6CA68C18" w:rsidR="003A0C0F" w:rsidRPr="005021D3" w:rsidRDefault="003A0C0F" w:rsidP="00A206A3">
      <w:pPr>
        <w:contextualSpacing/>
        <w:jc w:val="center"/>
        <w:rPr>
          <w:rFonts w:asciiTheme="minorHAnsi" w:hAnsiTheme="minorHAnsi" w:cstheme="minorHAnsi"/>
          <w:b/>
          <w:bCs/>
          <w:sz w:val="28"/>
          <w:szCs w:val="28"/>
        </w:rPr>
      </w:pPr>
      <w:r w:rsidRPr="005021D3">
        <w:rPr>
          <w:rFonts w:asciiTheme="minorHAnsi" w:hAnsiTheme="minorHAnsi" w:cstheme="minorHAnsi"/>
          <w:b/>
          <w:bCs/>
          <w:sz w:val="28"/>
          <w:szCs w:val="28"/>
        </w:rPr>
        <w:t xml:space="preserve">Technical </w:t>
      </w:r>
      <w:r w:rsidR="00AF4D41" w:rsidRPr="005021D3">
        <w:rPr>
          <w:rFonts w:asciiTheme="minorHAnsi" w:hAnsiTheme="minorHAnsi" w:cstheme="minorHAnsi"/>
          <w:b/>
          <w:bCs/>
          <w:sz w:val="28"/>
          <w:szCs w:val="28"/>
        </w:rPr>
        <w:t>Brief</w:t>
      </w:r>
    </w:p>
    <w:p w14:paraId="2CBF2CB0" w14:textId="021AD197" w:rsidR="003A0C0F" w:rsidRDefault="003A0C0F" w:rsidP="00A206A3">
      <w:pPr>
        <w:contextualSpacing/>
        <w:rPr>
          <w:rFonts w:asciiTheme="minorHAnsi" w:hAnsiTheme="minorHAnsi" w:cstheme="minorHAnsi"/>
        </w:rPr>
      </w:pPr>
    </w:p>
    <w:p w14:paraId="59E73112" w14:textId="77777777" w:rsidR="00CF16CE" w:rsidRDefault="00CF16CE" w:rsidP="00A206A3">
      <w:pPr>
        <w:contextualSpacing/>
        <w:rPr>
          <w:rFonts w:asciiTheme="minorHAnsi" w:hAnsiTheme="minorHAnsi" w:cstheme="minorHAnsi"/>
        </w:rPr>
      </w:pPr>
    </w:p>
    <w:p w14:paraId="6B99A63B" w14:textId="7AE009B0" w:rsidR="003A0C0F" w:rsidRDefault="003A0C0F" w:rsidP="00A206A3">
      <w:pPr>
        <w:contextualSpacing/>
        <w:jc w:val="center"/>
        <w:rPr>
          <w:rFonts w:asciiTheme="minorHAnsi" w:hAnsiTheme="minorHAnsi" w:cstheme="minorHAnsi"/>
        </w:rPr>
      </w:pPr>
      <w:r>
        <w:rPr>
          <w:rFonts w:asciiTheme="minorHAnsi" w:hAnsiTheme="minorHAnsi" w:cstheme="minorHAnsi"/>
        </w:rPr>
        <w:t>Derek A. Chapman, PhD</w:t>
      </w:r>
      <w:r w:rsidRPr="003A0C0F">
        <w:rPr>
          <w:rFonts w:asciiTheme="minorHAnsi" w:hAnsiTheme="minorHAnsi" w:cstheme="minorHAnsi"/>
          <w:vertAlign w:val="superscript"/>
        </w:rPr>
        <w:t>1</w:t>
      </w:r>
    </w:p>
    <w:p w14:paraId="2196DB8E" w14:textId="77777777" w:rsidR="003A0C0F" w:rsidRDefault="003A0C0F" w:rsidP="00A206A3">
      <w:pPr>
        <w:contextualSpacing/>
        <w:jc w:val="center"/>
        <w:rPr>
          <w:rFonts w:asciiTheme="minorHAnsi" w:hAnsiTheme="minorHAnsi" w:cstheme="minorHAnsi"/>
        </w:rPr>
      </w:pPr>
    </w:p>
    <w:p w14:paraId="6D3DF368" w14:textId="0B218FD0" w:rsidR="003A0C0F" w:rsidRDefault="003A0C0F" w:rsidP="00A206A3">
      <w:pPr>
        <w:contextualSpacing/>
        <w:jc w:val="center"/>
        <w:rPr>
          <w:rFonts w:asciiTheme="minorHAnsi" w:hAnsiTheme="minorHAnsi" w:cstheme="minorHAnsi"/>
        </w:rPr>
      </w:pPr>
      <w:r>
        <w:rPr>
          <w:rFonts w:asciiTheme="minorHAnsi" w:hAnsiTheme="minorHAnsi" w:cstheme="minorHAnsi"/>
        </w:rPr>
        <w:t>Jong Hyung Lee, MS</w:t>
      </w:r>
      <w:r w:rsidRPr="003A0C0F">
        <w:rPr>
          <w:rFonts w:asciiTheme="minorHAnsi" w:hAnsiTheme="minorHAnsi" w:cstheme="minorHAnsi"/>
          <w:vertAlign w:val="superscript"/>
        </w:rPr>
        <w:t>1</w:t>
      </w:r>
    </w:p>
    <w:p w14:paraId="2AB560D7" w14:textId="77777777" w:rsidR="003A0C0F" w:rsidRDefault="003A0C0F" w:rsidP="00A206A3">
      <w:pPr>
        <w:contextualSpacing/>
        <w:jc w:val="center"/>
        <w:rPr>
          <w:rFonts w:asciiTheme="minorHAnsi" w:hAnsiTheme="minorHAnsi" w:cstheme="minorHAnsi"/>
        </w:rPr>
      </w:pPr>
    </w:p>
    <w:p w14:paraId="79182738" w14:textId="3371AAE2" w:rsidR="003A0C0F" w:rsidRDefault="003A0C0F" w:rsidP="00A206A3">
      <w:pPr>
        <w:contextualSpacing/>
        <w:jc w:val="center"/>
        <w:rPr>
          <w:rFonts w:asciiTheme="minorHAnsi" w:hAnsiTheme="minorHAnsi" w:cstheme="minorHAnsi"/>
        </w:rPr>
      </w:pPr>
      <w:r>
        <w:rPr>
          <w:rFonts w:asciiTheme="minorHAnsi" w:hAnsiTheme="minorHAnsi" w:cstheme="minorHAnsi"/>
        </w:rPr>
        <w:t>Roy T. Sabo, PhD</w:t>
      </w:r>
      <w:r w:rsidRPr="003A0C0F">
        <w:rPr>
          <w:rFonts w:asciiTheme="minorHAnsi" w:hAnsiTheme="minorHAnsi" w:cstheme="minorHAnsi"/>
          <w:vertAlign w:val="superscript"/>
        </w:rPr>
        <w:t>2</w:t>
      </w:r>
    </w:p>
    <w:p w14:paraId="388B12A6" w14:textId="7A9A1D84" w:rsidR="003A0C0F" w:rsidRDefault="003A0C0F" w:rsidP="00A206A3">
      <w:pPr>
        <w:contextualSpacing/>
        <w:jc w:val="center"/>
        <w:rPr>
          <w:rFonts w:asciiTheme="minorHAnsi" w:hAnsiTheme="minorHAnsi" w:cstheme="minorHAnsi"/>
        </w:rPr>
      </w:pPr>
    </w:p>
    <w:p w14:paraId="056B57FA" w14:textId="77777777" w:rsidR="00CF16CE" w:rsidRDefault="00CF16CE" w:rsidP="00A206A3">
      <w:pPr>
        <w:contextualSpacing/>
        <w:jc w:val="center"/>
        <w:rPr>
          <w:rFonts w:asciiTheme="minorHAnsi" w:hAnsiTheme="minorHAnsi" w:cstheme="minorHAnsi"/>
        </w:rPr>
      </w:pPr>
    </w:p>
    <w:p w14:paraId="6B484F89" w14:textId="77777777" w:rsidR="003A0C0F" w:rsidRPr="003A0C0F" w:rsidRDefault="003A0C0F" w:rsidP="00A206A3">
      <w:pPr>
        <w:contextualSpacing/>
        <w:jc w:val="center"/>
        <w:rPr>
          <w:rFonts w:asciiTheme="minorHAnsi" w:hAnsiTheme="minorHAnsi" w:cstheme="minorHAnsi"/>
          <w:i/>
          <w:iCs/>
        </w:rPr>
      </w:pPr>
      <w:r w:rsidRPr="003A0C0F">
        <w:rPr>
          <w:rFonts w:asciiTheme="minorHAnsi" w:hAnsiTheme="minorHAnsi" w:cstheme="minorHAnsi"/>
          <w:i/>
          <w:iCs/>
          <w:vertAlign w:val="superscript"/>
        </w:rPr>
        <w:t>1</w:t>
      </w:r>
      <w:r w:rsidRPr="003A0C0F">
        <w:rPr>
          <w:rFonts w:asciiTheme="minorHAnsi" w:hAnsiTheme="minorHAnsi" w:cstheme="minorHAnsi"/>
          <w:i/>
          <w:iCs/>
        </w:rPr>
        <w:t>Center on Society and Health, Virginia Commonwealth University</w:t>
      </w:r>
    </w:p>
    <w:p w14:paraId="279CB79C" w14:textId="50201C07" w:rsidR="003A0C0F" w:rsidRPr="003A0C0F" w:rsidRDefault="003A0C0F" w:rsidP="00A206A3">
      <w:pPr>
        <w:contextualSpacing/>
        <w:jc w:val="center"/>
        <w:rPr>
          <w:rFonts w:asciiTheme="minorHAnsi" w:hAnsiTheme="minorHAnsi" w:cstheme="minorHAnsi"/>
          <w:i/>
          <w:iCs/>
        </w:rPr>
      </w:pPr>
      <w:r w:rsidRPr="003A0C0F">
        <w:rPr>
          <w:rFonts w:asciiTheme="minorHAnsi" w:hAnsiTheme="minorHAnsi" w:cstheme="minorHAnsi"/>
          <w:i/>
          <w:iCs/>
          <w:vertAlign w:val="superscript"/>
        </w:rPr>
        <w:t>2</w:t>
      </w:r>
      <w:r w:rsidRPr="003A0C0F">
        <w:rPr>
          <w:rFonts w:asciiTheme="minorHAnsi" w:hAnsiTheme="minorHAnsi" w:cstheme="minorHAnsi"/>
          <w:i/>
          <w:iCs/>
        </w:rPr>
        <w:t>Department of Biostatistics, Virginia Commonwealth University</w:t>
      </w:r>
    </w:p>
    <w:p w14:paraId="3B02A6BA" w14:textId="5F20AF56" w:rsidR="003A0C0F" w:rsidRDefault="003A0C0F" w:rsidP="00A206A3">
      <w:pPr>
        <w:contextualSpacing/>
        <w:jc w:val="center"/>
        <w:rPr>
          <w:rFonts w:asciiTheme="minorHAnsi" w:hAnsiTheme="minorHAnsi" w:cstheme="minorHAnsi"/>
        </w:rPr>
      </w:pPr>
    </w:p>
    <w:p w14:paraId="03F3618B" w14:textId="4CB527D1" w:rsidR="003A0C0F" w:rsidRDefault="003A0C0F" w:rsidP="00A206A3">
      <w:pPr>
        <w:jc w:val="center"/>
        <w:rPr>
          <w:rFonts w:asciiTheme="minorHAnsi" w:hAnsiTheme="minorHAnsi" w:cstheme="minorHAnsi"/>
        </w:rPr>
      </w:pPr>
    </w:p>
    <w:p w14:paraId="5CC569A5" w14:textId="1C72CE4A" w:rsidR="003A0C0F" w:rsidRDefault="003A0C0F" w:rsidP="00A206A3">
      <w:pPr>
        <w:jc w:val="center"/>
        <w:rPr>
          <w:rFonts w:asciiTheme="minorHAnsi" w:hAnsiTheme="minorHAnsi" w:cstheme="minorHAnsi"/>
        </w:rPr>
      </w:pPr>
    </w:p>
    <w:p w14:paraId="7B609D35" w14:textId="447C0087" w:rsidR="003A0C0F" w:rsidRDefault="003A0C0F" w:rsidP="00A206A3">
      <w:pPr>
        <w:jc w:val="center"/>
        <w:rPr>
          <w:rFonts w:asciiTheme="minorHAnsi" w:hAnsiTheme="minorHAnsi" w:cstheme="minorHAnsi"/>
        </w:rPr>
      </w:pPr>
    </w:p>
    <w:p w14:paraId="642D01B3" w14:textId="2DA714E2" w:rsidR="003A0C0F" w:rsidRDefault="003A0C0F" w:rsidP="00A206A3">
      <w:pPr>
        <w:jc w:val="center"/>
        <w:rPr>
          <w:rFonts w:asciiTheme="minorHAnsi" w:hAnsiTheme="minorHAnsi" w:cstheme="minorHAnsi"/>
        </w:rPr>
      </w:pPr>
    </w:p>
    <w:p w14:paraId="7DD8E84E" w14:textId="0555001C" w:rsidR="003A0C0F" w:rsidRDefault="003A0C0F" w:rsidP="00A206A3">
      <w:pPr>
        <w:jc w:val="center"/>
        <w:rPr>
          <w:rFonts w:asciiTheme="minorHAnsi" w:hAnsiTheme="minorHAnsi" w:cstheme="minorHAnsi"/>
        </w:rPr>
      </w:pPr>
    </w:p>
    <w:p w14:paraId="28F1EABF" w14:textId="63C75A2E" w:rsidR="003A0C0F" w:rsidRDefault="003A0C0F" w:rsidP="00A206A3">
      <w:pPr>
        <w:jc w:val="center"/>
        <w:rPr>
          <w:rFonts w:asciiTheme="minorHAnsi" w:hAnsiTheme="minorHAnsi" w:cstheme="minorHAnsi"/>
        </w:rPr>
      </w:pPr>
    </w:p>
    <w:p w14:paraId="71DB8AC6" w14:textId="0E67B5A2" w:rsidR="003A0C0F" w:rsidRDefault="003A0C0F" w:rsidP="00A206A3">
      <w:pPr>
        <w:jc w:val="center"/>
        <w:rPr>
          <w:rFonts w:asciiTheme="minorHAnsi" w:hAnsiTheme="minorHAnsi" w:cstheme="minorHAnsi"/>
        </w:rPr>
      </w:pPr>
    </w:p>
    <w:p w14:paraId="3BAFCA50" w14:textId="61F13D52" w:rsidR="003A0C0F" w:rsidRDefault="003A0C0F" w:rsidP="00A206A3">
      <w:pPr>
        <w:jc w:val="center"/>
        <w:rPr>
          <w:rFonts w:asciiTheme="minorHAnsi" w:hAnsiTheme="minorHAnsi" w:cstheme="minorHAnsi"/>
        </w:rPr>
      </w:pPr>
    </w:p>
    <w:p w14:paraId="7ECA5FF5" w14:textId="192AD5E0" w:rsidR="003A0C0F" w:rsidRDefault="003A0C0F" w:rsidP="00A206A3">
      <w:pPr>
        <w:jc w:val="center"/>
        <w:rPr>
          <w:rFonts w:asciiTheme="minorHAnsi" w:hAnsiTheme="minorHAnsi" w:cstheme="minorHAnsi"/>
        </w:rPr>
      </w:pPr>
    </w:p>
    <w:p w14:paraId="1B5BB789" w14:textId="289CCF59" w:rsidR="00A36886" w:rsidRDefault="00A36886" w:rsidP="00A206A3">
      <w:pPr>
        <w:jc w:val="center"/>
        <w:rPr>
          <w:rFonts w:asciiTheme="minorHAnsi" w:hAnsiTheme="minorHAnsi" w:cstheme="minorHAnsi"/>
        </w:rPr>
      </w:pPr>
    </w:p>
    <w:p w14:paraId="22CB553D" w14:textId="6D91B8B5" w:rsidR="00A36886" w:rsidRDefault="00A36886" w:rsidP="00A206A3">
      <w:pPr>
        <w:jc w:val="center"/>
        <w:rPr>
          <w:rFonts w:asciiTheme="minorHAnsi" w:hAnsiTheme="minorHAnsi" w:cstheme="minorHAnsi"/>
        </w:rPr>
      </w:pPr>
    </w:p>
    <w:p w14:paraId="0A67F6C3" w14:textId="517245D2" w:rsidR="00A36886" w:rsidRDefault="00A36886" w:rsidP="00A206A3">
      <w:pPr>
        <w:jc w:val="center"/>
        <w:rPr>
          <w:rFonts w:asciiTheme="minorHAnsi" w:hAnsiTheme="minorHAnsi" w:cstheme="minorHAnsi"/>
        </w:rPr>
      </w:pPr>
    </w:p>
    <w:p w14:paraId="27ED5EDC" w14:textId="585CE208" w:rsidR="00A36886" w:rsidRDefault="00A36886" w:rsidP="00A206A3">
      <w:pPr>
        <w:jc w:val="center"/>
        <w:rPr>
          <w:rFonts w:asciiTheme="minorHAnsi" w:hAnsiTheme="minorHAnsi" w:cstheme="minorHAnsi"/>
        </w:rPr>
      </w:pPr>
    </w:p>
    <w:p w14:paraId="7E582B03" w14:textId="77777777" w:rsidR="00A36886" w:rsidRDefault="00A36886" w:rsidP="00A206A3">
      <w:pPr>
        <w:jc w:val="center"/>
        <w:rPr>
          <w:rFonts w:asciiTheme="minorHAnsi" w:hAnsiTheme="minorHAnsi" w:cstheme="minorHAnsi"/>
        </w:rPr>
      </w:pPr>
    </w:p>
    <w:p w14:paraId="31534C14" w14:textId="0C8E8DDC" w:rsidR="003A0C0F" w:rsidRDefault="003A0C0F" w:rsidP="00A206A3">
      <w:pPr>
        <w:jc w:val="center"/>
        <w:rPr>
          <w:rFonts w:asciiTheme="minorHAnsi" w:hAnsiTheme="minorHAnsi" w:cstheme="minorHAnsi"/>
        </w:rPr>
      </w:pPr>
    </w:p>
    <w:p w14:paraId="330AB257" w14:textId="34BE8C67" w:rsidR="003A0C0F" w:rsidRDefault="003A0C0F" w:rsidP="00A206A3">
      <w:pPr>
        <w:jc w:val="center"/>
        <w:rPr>
          <w:rFonts w:asciiTheme="minorHAnsi" w:hAnsiTheme="minorHAnsi" w:cstheme="minorHAnsi"/>
        </w:rPr>
      </w:pPr>
    </w:p>
    <w:p w14:paraId="1265FBD2" w14:textId="5629B106" w:rsidR="003A0C0F" w:rsidRDefault="003A0C0F" w:rsidP="00A206A3">
      <w:pPr>
        <w:jc w:val="right"/>
        <w:rPr>
          <w:rFonts w:asciiTheme="minorHAnsi" w:hAnsiTheme="minorHAnsi" w:cstheme="minorHAnsi"/>
        </w:rPr>
      </w:pPr>
    </w:p>
    <w:p w14:paraId="3D34E256" w14:textId="2CFD8E8B" w:rsidR="00CF16CE" w:rsidRDefault="00CF16CE" w:rsidP="00A206A3">
      <w:pPr>
        <w:jc w:val="right"/>
        <w:rPr>
          <w:rFonts w:asciiTheme="minorHAnsi" w:hAnsiTheme="minorHAnsi" w:cstheme="minorHAnsi"/>
        </w:rPr>
      </w:pPr>
      <w:r>
        <w:rPr>
          <w:noProof/>
        </w:rPr>
        <w:drawing>
          <wp:anchor distT="0" distB="0" distL="114300" distR="114300" simplePos="0" relativeHeight="251658240" behindDoc="0" locked="0" layoutInCell="1" allowOverlap="1" wp14:anchorId="70922662" wp14:editId="2B9DC846">
            <wp:simplePos x="0" y="0"/>
            <wp:positionH relativeFrom="column">
              <wp:posOffset>190500</wp:posOffset>
            </wp:positionH>
            <wp:positionV relativeFrom="paragraph">
              <wp:posOffset>85375</wp:posOffset>
            </wp:positionV>
            <wp:extent cx="2606675" cy="45085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34" t="40560" r="23536" b="43245"/>
                    <a:stretch/>
                  </pic:blipFill>
                  <pic:spPr bwMode="auto">
                    <a:xfrm>
                      <a:off x="0" y="0"/>
                      <a:ext cx="2606675" cy="450850"/>
                    </a:xfrm>
                    <a:prstGeom prst="rect">
                      <a:avLst/>
                    </a:prstGeom>
                    <a:noFill/>
                    <a:ln>
                      <a:noFill/>
                    </a:ln>
                    <a:extLst>
                      <a:ext uri="{53640926-AAD7-44D8-BBD7-CCE9431645EC}">
                        <a14:shadowObscured xmlns:a14="http://schemas.microsoft.com/office/drawing/2010/main"/>
                      </a:ext>
                    </a:extLst>
                  </pic:spPr>
                </pic:pic>
              </a:graphicData>
            </a:graphic>
          </wp:anchor>
        </w:drawing>
      </w:r>
    </w:p>
    <w:p w14:paraId="251111D8" w14:textId="77777777" w:rsidR="00EC6B69" w:rsidRDefault="003A0C0F" w:rsidP="00A206A3">
      <w:pPr>
        <w:jc w:val="right"/>
        <w:rPr>
          <w:rFonts w:asciiTheme="minorHAnsi" w:hAnsiTheme="minorHAnsi" w:cstheme="minorHAnsi"/>
        </w:rPr>
        <w:sectPr w:rsidR="00EC6B69" w:rsidSect="00EC6B69">
          <w:footerReference w:type="default" r:id="rId9"/>
          <w:pgSz w:w="12240" w:h="15840" w:code="1"/>
          <w:pgMar w:top="1152" w:right="1152" w:bottom="1152" w:left="1152" w:header="720" w:footer="576" w:gutter="0"/>
          <w:cols w:space="720"/>
          <w:docGrid w:linePitch="360"/>
        </w:sectPr>
      </w:pPr>
      <w:r>
        <w:rPr>
          <w:rFonts w:asciiTheme="minorHAnsi" w:hAnsiTheme="minorHAnsi" w:cstheme="minorHAnsi"/>
        </w:rPr>
        <w:t>August 2021</w:t>
      </w:r>
    </w:p>
    <w:p w14:paraId="413ABF1D" w14:textId="6B2C55AB" w:rsidR="001A2D8F" w:rsidRDefault="001A2D8F" w:rsidP="00A206A3">
      <w:pPr>
        <w:jc w:val="center"/>
        <w:rPr>
          <w:rFonts w:asciiTheme="minorHAnsi" w:hAnsiTheme="minorHAnsi" w:cstheme="minorHAnsi"/>
          <w:b/>
          <w:bCs/>
        </w:rPr>
      </w:pPr>
      <w:r w:rsidRPr="001A2D8F">
        <w:rPr>
          <w:rFonts w:asciiTheme="minorHAnsi" w:hAnsiTheme="minorHAnsi" w:cstheme="minorHAnsi"/>
          <w:b/>
          <w:bCs/>
        </w:rPr>
        <w:lastRenderedPageBreak/>
        <w:t xml:space="preserve">Project </w:t>
      </w:r>
      <w:r>
        <w:rPr>
          <w:rFonts w:asciiTheme="minorHAnsi" w:hAnsiTheme="minorHAnsi" w:cstheme="minorHAnsi"/>
          <w:b/>
          <w:bCs/>
        </w:rPr>
        <w:t>Overview</w:t>
      </w:r>
    </w:p>
    <w:p w14:paraId="0515D912" w14:textId="77777777" w:rsidR="00A206A3" w:rsidRPr="001A2D8F" w:rsidRDefault="00A206A3" w:rsidP="00A206A3">
      <w:pPr>
        <w:jc w:val="center"/>
        <w:rPr>
          <w:rFonts w:asciiTheme="minorHAnsi" w:hAnsiTheme="minorHAnsi" w:cstheme="minorHAnsi"/>
          <w:b/>
          <w:bCs/>
        </w:rPr>
      </w:pPr>
    </w:p>
    <w:p w14:paraId="11AD0718" w14:textId="149FE02B" w:rsidR="003A0C0F" w:rsidRDefault="003A0C0F" w:rsidP="00A206A3">
      <w:pPr>
        <w:rPr>
          <w:rFonts w:asciiTheme="minorHAnsi" w:hAnsiTheme="minorHAnsi" w:cstheme="minorHAnsi"/>
        </w:rPr>
      </w:pPr>
      <w:r>
        <w:rPr>
          <w:rFonts w:asciiTheme="minorHAnsi" w:hAnsiTheme="minorHAnsi" w:cstheme="minorHAnsi"/>
        </w:rPr>
        <w:t xml:space="preserve">This technical </w:t>
      </w:r>
      <w:r w:rsidR="00A72822">
        <w:rPr>
          <w:rFonts w:asciiTheme="minorHAnsi" w:hAnsiTheme="minorHAnsi" w:cstheme="minorHAnsi"/>
        </w:rPr>
        <w:t>brief</w:t>
      </w:r>
      <w:r>
        <w:rPr>
          <w:rFonts w:asciiTheme="minorHAnsi" w:hAnsiTheme="minorHAnsi" w:cstheme="minorHAnsi"/>
        </w:rPr>
        <w:t xml:space="preserve"> </w:t>
      </w:r>
      <w:r w:rsidR="001A2D8F">
        <w:rPr>
          <w:rFonts w:asciiTheme="minorHAnsi" w:hAnsiTheme="minorHAnsi" w:cstheme="minorHAnsi"/>
        </w:rPr>
        <w:t>describ</w:t>
      </w:r>
      <w:r w:rsidR="00AF4D41">
        <w:rPr>
          <w:rFonts w:asciiTheme="minorHAnsi" w:hAnsiTheme="minorHAnsi" w:cstheme="minorHAnsi"/>
        </w:rPr>
        <w:t>e</w:t>
      </w:r>
      <w:r w:rsidR="001A2D8F">
        <w:rPr>
          <w:rFonts w:asciiTheme="minorHAnsi" w:hAnsiTheme="minorHAnsi" w:cstheme="minorHAnsi"/>
        </w:rPr>
        <w:t xml:space="preserve">s </w:t>
      </w:r>
      <w:r>
        <w:rPr>
          <w:rFonts w:asciiTheme="minorHAnsi" w:hAnsiTheme="minorHAnsi" w:cstheme="minorHAnsi"/>
        </w:rPr>
        <w:t xml:space="preserve">the data sources and methods utilized in the </w:t>
      </w:r>
      <w:r w:rsidR="004172F8">
        <w:rPr>
          <w:rFonts w:asciiTheme="minorHAnsi" w:hAnsiTheme="minorHAnsi" w:cstheme="minorHAnsi"/>
        </w:rPr>
        <w:t xml:space="preserve">2021 </w:t>
      </w:r>
      <w:r>
        <w:rPr>
          <w:rFonts w:asciiTheme="minorHAnsi" w:hAnsiTheme="minorHAnsi" w:cstheme="minorHAnsi"/>
        </w:rPr>
        <w:t>Behavioral Health</w:t>
      </w:r>
      <w:r w:rsidR="004172F8">
        <w:rPr>
          <w:rFonts w:asciiTheme="minorHAnsi" w:hAnsiTheme="minorHAnsi" w:cstheme="minorHAnsi"/>
        </w:rPr>
        <w:t xml:space="preserve"> </w:t>
      </w:r>
      <w:r>
        <w:rPr>
          <w:rFonts w:asciiTheme="minorHAnsi" w:hAnsiTheme="minorHAnsi" w:cstheme="minorHAnsi"/>
        </w:rPr>
        <w:t>Index</w:t>
      </w:r>
      <w:r w:rsidR="004172F8">
        <w:rPr>
          <w:rFonts w:asciiTheme="minorHAnsi" w:hAnsiTheme="minorHAnsi" w:cstheme="minorHAnsi"/>
        </w:rPr>
        <w:t xml:space="preserve"> (BHI) </w:t>
      </w:r>
      <w:r>
        <w:rPr>
          <w:rFonts w:asciiTheme="minorHAnsi" w:hAnsiTheme="minorHAnsi" w:cstheme="minorHAnsi"/>
        </w:rPr>
        <w:t xml:space="preserve">project completed by the VCU Center on Society and Health (CSH) </w:t>
      </w:r>
      <w:r w:rsidR="00AF4D41">
        <w:rPr>
          <w:rFonts w:asciiTheme="minorHAnsi" w:hAnsiTheme="minorHAnsi" w:cstheme="minorHAnsi"/>
        </w:rPr>
        <w:t xml:space="preserve">with </w:t>
      </w:r>
      <w:r>
        <w:rPr>
          <w:rFonts w:asciiTheme="minorHAnsi" w:hAnsiTheme="minorHAnsi" w:cstheme="minorHAnsi"/>
        </w:rPr>
        <w:t>fund</w:t>
      </w:r>
      <w:r w:rsidR="00AF4D41">
        <w:rPr>
          <w:rFonts w:asciiTheme="minorHAnsi" w:hAnsiTheme="minorHAnsi" w:cstheme="minorHAnsi"/>
        </w:rPr>
        <w:t>ing</w:t>
      </w:r>
      <w:r>
        <w:rPr>
          <w:rFonts w:asciiTheme="minorHAnsi" w:hAnsiTheme="minorHAnsi" w:cstheme="minorHAnsi"/>
        </w:rPr>
        <w:t xml:space="preserve"> by the Virginia Department of Behavioral Health and Developmental Services (VDBHDS). </w:t>
      </w:r>
    </w:p>
    <w:p w14:paraId="3C5FDA12" w14:textId="77777777" w:rsidR="00A206A3" w:rsidRDefault="00A206A3" w:rsidP="00A206A3">
      <w:pPr>
        <w:rPr>
          <w:rFonts w:asciiTheme="minorHAnsi" w:hAnsiTheme="minorHAnsi" w:cstheme="minorHAnsi"/>
        </w:rPr>
      </w:pPr>
    </w:p>
    <w:p w14:paraId="4DF289CE" w14:textId="443DAC05" w:rsidR="001A2D8F" w:rsidRDefault="001A2D8F" w:rsidP="00A206A3">
      <w:pPr>
        <w:keepNext/>
        <w:keepLines/>
        <w:outlineLvl w:val="1"/>
        <w:rPr>
          <w:rFonts w:ascii="Calibri" w:eastAsia="MS Gothic" w:hAnsi="Calibri"/>
          <w:b/>
          <w:bCs/>
          <w:i/>
          <w:iCs/>
          <w:color w:val="0E6395"/>
          <w:sz w:val="28"/>
          <w:lang w:eastAsia="en-US"/>
        </w:rPr>
      </w:pPr>
      <w:r w:rsidRPr="001A2D8F">
        <w:rPr>
          <w:rFonts w:ascii="Calibri" w:eastAsia="MS Gothic" w:hAnsi="Calibri"/>
          <w:b/>
          <w:bCs/>
          <w:i/>
          <w:iCs/>
          <w:color w:val="0E6395"/>
          <w:sz w:val="28"/>
          <w:lang w:eastAsia="en-US"/>
        </w:rPr>
        <w:t>Background</w:t>
      </w:r>
    </w:p>
    <w:p w14:paraId="0CFD2099" w14:textId="77777777" w:rsidR="00A206A3" w:rsidRPr="001A2D8F" w:rsidRDefault="00A206A3" w:rsidP="00A206A3">
      <w:pPr>
        <w:keepNext/>
        <w:keepLines/>
        <w:outlineLvl w:val="1"/>
        <w:rPr>
          <w:rFonts w:ascii="Calibri" w:eastAsia="MS Gothic" w:hAnsi="Calibri"/>
          <w:b/>
          <w:bCs/>
          <w:i/>
          <w:iCs/>
          <w:color w:val="0E6395"/>
          <w:sz w:val="28"/>
          <w:lang w:eastAsia="en-US"/>
        </w:rPr>
      </w:pPr>
    </w:p>
    <w:p w14:paraId="6C9D9294" w14:textId="6B2A81C4" w:rsidR="001A2D8F" w:rsidRDefault="001A2D8F" w:rsidP="00A206A3">
      <w:pPr>
        <w:rPr>
          <w:rFonts w:ascii="Calibri" w:eastAsia="Calibri" w:hAnsi="Calibri" w:cs="Calibri"/>
          <w:lang w:eastAsia="en-US"/>
        </w:rPr>
      </w:pPr>
      <w:r w:rsidRPr="001A2D8F">
        <w:rPr>
          <w:rFonts w:ascii="Calibri" w:eastAsia="Calibri" w:hAnsi="Calibri" w:cs="Calibri"/>
          <w:lang w:eastAsia="en-US"/>
        </w:rPr>
        <w:t xml:space="preserve">The burden of illness (e.g., the number of people suffering from mental illness and/or substance use disorder) is ideally determined by multiplying the population by the prevalence rate, but accurate prevalence data are lacking for most behavioral health conditions. No population-representative surveys are undertaken in the Commonwealth to accurately ascertain the prevalence of any mental illness or substance use disorder at the county/city level or smaller geography. The data maintained by a Community Service Board (CSB) describes the prevalence among the client base served by the CSB and may overestimate or underestimate the actual prevalence rate in the CSB’s service area. People who seek care at the CSB may not be representative of the entire population. </w:t>
      </w:r>
    </w:p>
    <w:p w14:paraId="58C11CA2" w14:textId="77777777" w:rsidR="00A206A3" w:rsidRPr="001A2D8F" w:rsidRDefault="00A206A3" w:rsidP="00A206A3">
      <w:pPr>
        <w:rPr>
          <w:rFonts w:ascii="Calibri" w:eastAsia="Calibri" w:hAnsi="Calibri" w:cs="Calibri"/>
          <w:lang w:eastAsia="en-US"/>
        </w:rPr>
      </w:pPr>
    </w:p>
    <w:p w14:paraId="740D236F" w14:textId="09C23998" w:rsidR="001A2D8F" w:rsidRDefault="001A2D8F" w:rsidP="00A206A3">
      <w:pPr>
        <w:rPr>
          <w:rFonts w:ascii="Calibri" w:eastAsia="Calibri" w:hAnsi="Calibri" w:cs="Calibri"/>
          <w:lang w:eastAsia="en-US"/>
        </w:rPr>
      </w:pPr>
      <w:r w:rsidRPr="001A2D8F">
        <w:rPr>
          <w:rFonts w:ascii="Calibri" w:eastAsia="Calibri" w:hAnsi="Calibri" w:cs="Calibri"/>
          <w:lang w:eastAsia="en-US"/>
        </w:rPr>
        <w:t xml:space="preserve">The </w:t>
      </w:r>
      <w:r w:rsidR="004172F8">
        <w:rPr>
          <w:rFonts w:ascii="Calibri" w:eastAsia="Calibri" w:hAnsi="Calibri" w:cs="Calibri"/>
          <w:lang w:eastAsia="en-US"/>
        </w:rPr>
        <w:t xml:space="preserve">initial </w:t>
      </w:r>
      <w:r w:rsidRPr="001A2D8F">
        <w:rPr>
          <w:rFonts w:ascii="Calibri" w:eastAsia="Calibri" w:hAnsi="Calibri" w:cs="Calibri"/>
          <w:lang w:eastAsia="en-US"/>
        </w:rPr>
        <w:t xml:space="preserve">BHI </w:t>
      </w:r>
      <w:r w:rsidR="0022484B">
        <w:rPr>
          <w:rFonts w:ascii="Calibri" w:eastAsia="Calibri" w:hAnsi="Calibri" w:cs="Calibri"/>
          <w:lang w:eastAsia="en-US"/>
        </w:rPr>
        <w:t xml:space="preserve">developed in 2020 </w:t>
      </w:r>
      <w:r w:rsidRPr="001A2D8F">
        <w:rPr>
          <w:rFonts w:ascii="Calibri" w:eastAsia="Calibri" w:hAnsi="Calibri" w:cs="Calibri"/>
          <w:lang w:eastAsia="en-US"/>
        </w:rPr>
        <w:t xml:space="preserve">used mentally unhealthy days </w:t>
      </w:r>
      <w:r w:rsidR="00AB3632">
        <w:rPr>
          <w:rFonts w:ascii="Calibri" w:eastAsia="Calibri" w:hAnsi="Calibri" w:cs="Calibri"/>
          <w:lang w:eastAsia="en-US"/>
        </w:rPr>
        <w:t xml:space="preserve">reported in the CDC’s Behavioral Risk Factor Surveillance System (BRFSS) </w:t>
      </w:r>
      <w:r w:rsidRPr="001A2D8F">
        <w:rPr>
          <w:rFonts w:ascii="Calibri" w:eastAsia="Calibri" w:hAnsi="Calibri" w:cs="Calibri"/>
          <w:lang w:eastAsia="en-US"/>
        </w:rPr>
        <w:t xml:space="preserve">to estimate the burden of illness based on data accessibility at the time of development. While the outcome measure of mentally unhealthy days provided a global measure of mental health, it did not fully estimate the population in need of CSB services as it did not capture individuals with substance use disorders and excluded children. </w:t>
      </w:r>
    </w:p>
    <w:p w14:paraId="6A1289F3" w14:textId="77777777" w:rsidR="00A206A3" w:rsidRDefault="00A206A3" w:rsidP="00A206A3">
      <w:pPr>
        <w:rPr>
          <w:rFonts w:ascii="Calibri" w:eastAsia="Calibri" w:hAnsi="Calibri" w:cs="Calibri"/>
          <w:lang w:eastAsia="en-US"/>
        </w:rPr>
      </w:pPr>
    </w:p>
    <w:p w14:paraId="11511CEC" w14:textId="3D4CBF0C" w:rsidR="001A2D8F" w:rsidRDefault="001A2D8F" w:rsidP="00A206A3">
      <w:pPr>
        <w:rPr>
          <w:rFonts w:ascii="Calibri" w:eastAsia="Calibri" w:hAnsi="Calibri" w:cs="Calibri"/>
          <w:lang w:eastAsia="en-US"/>
        </w:rPr>
      </w:pPr>
      <w:r>
        <w:rPr>
          <w:rFonts w:ascii="Calibri" w:eastAsia="Calibri" w:hAnsi="Calibri" w:cs="Calibri"/>
          <w:lang w:eastAsia="en-US"/>
        </w:rPr>
        <w:t xml:space="preserve">Thus, the purpose of the current project was to </w:t>
      </w:r>
      <w:r w:rsidR="004172F8">
        <w:rPr>
          <w:rFonts w:ascii="Calibri" w:eastAsia="Calibri" w:hAnsi="Calibri" w:cs="Calibri"/>
          <w:lang w:eastAsia="en-US"/>
        </w:rPr>
        <w:t xml:space="preserve">use the </w:t>
      </w:r>
      <w:r>
        <w:rPr>
          <w:rFonts w:ascii="Calibri" w:eastAsia="Calibri" w:hAnsi="Calibri" w:cs="Calibri"/>
          <w:lang w:eastAsia="en-US"/>
        </w:rPr>
        <w:t>Virginia All-Payer Claims Database (APCD)</w:t>
      </w:r>
      <w:r w:rsidR="004172F8">
        <w:rPr>
          <w:rFonts w:ascii="Calibri" w:eastAsia="Calibri" w:hAnsi="Calibri" w:cs="Calibri"/>
          <w:lang w:eastAsia="en-US"/>
        </w:rPr>
        <w:t xml:space="preserve"> to extend </w:t>
      </w:r>
      <w:r w:rsidR="00AB3632">
        <w:rPr>
          <w:rFonts w:ascii="Calibri" w:eastAsia="Calibri" w:hAnsi="Calibri" w:cs="Calibri"/>
          <w:lang w:eastAsia="en-US"/>
        </w:rPr>
        <w:t xml:space="preserve">the </w:t>
      </w:r>
      <w:r w:rsidR="004172F8">
        <w:rPr>
          <w:rFonts w:ascii="Calibri" w:eastAsia="Calibri" w:hAnsi="Calibri" w:cs="Calibri"/>
          <w:lang w:eastAsia="en-US"/>
        </w:rPr>
        <w:t>prior BHI work by</w:t>
      </w:r>
      <w:r>
        <w:rPr>
          <w:rFonts w:ascii="Calibri" w:eastAsia="Calibri" w:hAnsi="Calibri" w:cs="Calibri"/>
          <w:lang w:eastAsia="en-US"/>
        </w:rPr>
        <w:t>:</w:t>
      </w:r>
    </w:p>
    <w:p w14:paraId="7D98D4D9" w14:textId="77777777" w:rsidR="00A206A3" w:rsidRPr="001A2D8F" w:rsidRDefault="00A206A3" w:rsidP="00A206A3">
      <w:pPr>
        <w:rPr>
          <w:rFonts w:ascii="Calibri" w:eastAsia="Calibri" w:hAnsi="Calibri" w:cs="Calibri"/>
          <w:lang w:eastAsia="en-US"/>
        </w:rPr>
      </w:pPr>
    </w:p>
    <w:p w14:paraId="07565F0C" w14:textId="7B282580" w:rsidR="001A2D8F" w:rsidRPr="00FE58D8" w:rsidRDefault="001A2D8F" w:rsidP="00A206A3">
      <w:pPr>
        <w:numPr>
          <w:ilvl w:val="0"/>
          <w:numId w:val="7"/>
        </w:numPr>
        <w:contextualSpacing/>
        <w:rPr>
          <w:rFonts w:ascii="Calibri" w:eastAsia="Calibri" w:hAnsi="Calibri" w:cs="Calibri"/>
        </w:rPr>
      </w:pPr>
      <w:r w:rsidRPr="001A2D8F">
        <w:rPr>
          <w:rFonts w:ascii="Calibri" w:eastAsia="Calibri" w:hAnsi="Calibri" w:cs="Calibri"/>
        </w:rPr>
        <w:t>Comput</w:t>
      </w:r>
      <w:r w:rsidR="004172F8">
        <w:rPr>
          <w:rFonts w:ascii="Calibri" w:eastAsia="Calibri" w:hAnsi="Calibri" w:cs="Calibri"/>
        </w:rPr>
        <w:t>ing</w:t>
      </w:r>
      <w:r w:rsidRPr="001A2D8F">
        <w:rPr>
          <w:rFonts w:ascii="Calibri" w:eastAsia="Calibri" w:hAnsi="Calibri" w:cs="Calibri"/>
        </w:rPr>
        <w:t xml:space="preserve"> crude</w:t>
      </w:r>
      <w:r>
        <w:rPr>
          <w:rFonts w:ascii="Calibri" w:eastAsia="Calibri" w:hAnsi="Calibri" w:cs="Calibri"/>
          <w:b/>
          <w:bCs/>
        </w:rPr>
        <w:t xml:space="preserve"> </w:t>
      </w:r>
      <w:r w:rsidRPr="001A2D8F">
        <w:rPr>
          <w:rFonts w:ascii="Calibri" w:eastAsia="Calibri" w:hAnsi="Calibri" w:cs="Calibri"/>
        </w:rPr>
        <w:t>rates</w:t>
      </w:r>
      <w:r>
        <w:rPr>
          <w:rFonts w:ascii="Calibri" w:eastAsia="Calibri" w:hAnsi="Calibri" w:cs="Calibri"/>
          <w:b/>
          <w:bCs/>
        </w:rPr>
        <w:t xml:space="preserve"> </w:t>
      </w:r>
      <w:r w:rsidRPr="00FE58D8">
        <w:rPr>
          <w:rFonts w:ascii="Calibri" w:eastAsia="Calibri" w:hAnsi="Calibri" w:cs="Calibri"/>
        </w:rPr>
        <w:t xml:space="preserve">of </w:t>
      </w:r>
      <w:r>
        <w:rPr>
          <w:rFonts w:ascii="Calibri" w:eastAsia="Calibri" w:hAnsi="Calibri" w:cs="Calibri"/>
        </w:rPr>
        <w:t xml:space="preserve">(a) </w:t>
      </w:r>
      <w:r w:rsidR="00FC2ADD" w:rsidRPr="00FE58D8">
        <w:rPr>
          <w:rFonts w:ascii="Calibri" w:eastAsia="Calibri" w:hAnsi="Calibri" w:cs="Calibri"/>
        </w:rPr>
        <w:t xml:space="preserve">severe emotional disturbance (SED) </w:t>
      </w:r>
      <w:r w:rsidR="00FC2ADD">
        <w:rPr>
          <w:rFonts w:ascii="Calibri" w:eastAsia="Calibri" w:hAnsi="Calibri" w:cs="Calibri"/>
        </w:rPr>
        <w:t xml:space="preserve">among </w:t>
      </w:r>
      <w:r w:rsidR="00FC2ADD" w:rsidRPr="00FE58D8">
        <w:rPr>
          <w:rFonts w:ascii="Calibri" w:eastAsia="Calibri" w:hAnsi="Calibri" w:cs="Calibri"/>
        </w:rPr>
        <w:t>children ages 8 to 17 years</w:t>
      </w:r>
      <w:r>
        <w:rPr>
          <w:rFonts w:ascii="Calibri" w:eastAsia="Calibri" w:hAnsi="Calibri" w:cs="Calibri"/>
        </w:rPr>
        <w:t xml:space="preserve">; (b); </w:t>
      </w:r>
      <w:r w:rsidR="00FC2ADD">
        <w:rPr>
          <w:rFonts w:ascii="Calibri" w:eastAsia="Calibri" w:hAnsi="Calibri" w:cs="Calibri"/>
        </w:rPr>
        <w:t xml:space="preserve">serious </w:t>
      </w:r>
      <w:r w:rsidR="00FC2ADD" w:rsidRPr="00FE58D8">
        <w:rPr>
          <w:rFonts w:ascii="Calibri" w:eastAsia="Calibri" w:hAnsi="Calibri" w:cs="Calibri"/>
        </w:rPr>
        <w:t xml:space="preserve">mental illness (SMI) </w:t>
      </w:r>
      <w:r w:rsidR="00FC2ADD">
        <w:rPr>
          <w:rFonts w:ascii="Calibri" w:eastAsia="Calibri" w:hAnsi="Calibri" w:cs="Calibri"/>
        </w:rPr>
        <w:t xml:space="preserve">among </w:t>
      </w:r>
      <w:r w:rsidR="00FC2ADD" w:rsidRPr="00FE58D8">
        <w:rPr>
          <w:rFonts w:ascii="Calibri" w:eastAsia="Calibri" w:hAnsi="Calibri" w:cs="Calibri"/>
        </w:rPr>
        <w:t>adults</w:t>
      </w:r>
      <w:r w:rsidR="00FC2ADD">
        <w:rPr>
          <w:rFonts w:ascii="Calibri" w:eastAsia="Calibri" w:hAnsi="Calibri" w:cs="Calibri"/>
        </w:rPr>
        <w:t xml:space="preserve"> </w:t>
      </w:r>
      <w:r w:rsidR="00AB3632">
        <w:rPr>
          <w:rFonts w:ascii="Calibri" w:eastAsia="Calibri" w:hAnsi="Calibri" w:cs="Calibri"/>
        </w:rPr>
        <w:t xml:space="preserve">18 years and older; </w:t>
      </w:r>
      <w:r>
        <w:rPr>
          <w:rFonts w:ascii="Calibri" w:eastAsia="Calibri" w:hAnsi="Calibri" w:cs="Calibri"/>
        </w:rPr>
        <w:t xml:space="preserve">and (c) </w:t>
      </w:r>
      <w:r w:rsidRPr="00FE58D8">
        <w:rPr>
          <w:rFonts w:ascii="Calibri" w:eastAsia="Calibri" w:hAnsi="Calibri" w:cs="Calibri"/>
        </w:rPr>
        <w:t xml:space="preserve">substance use disorder (SUD) at any age for each </w:t>
      </w:r>
      <w:r>
        <w:rPr>
          <w:rFonts w:ascii="Calibri" w:eastAsia="Calibri" w:hAnsi="Calibri" w:cs="Calibri"/>
        </w:rPr>
        <w:t xml:space="preserve">Zip Code and </w:t>
      </w:r>
      <w:r w:rsidRPr="00FE58D8">
        <w:rPr>
          <w:rFonts w:ascii="Calibri" w:eastAsia="Calibri" w:hAnsi="Calibri" w:cs="Calibri"/>
        </w:rPr>
        <w:t>Community Service Board (CSB) service area</w:t>
      </w:r>
      <w:r>
        <w:rPr>
          <w:rFonts w:ascii="Calibri" w:eastAsia="Calibri" w:hAnsi="Calibri" w:cs="Calibri"/>
        </w:rPr>
        <w:t xml:space="preserve"> in Virginia</w:t>
      </w:r>
    </w:p>
    <w:p w14:paraId="1788F1AE" w14:textId="4A86E855" w:rsidR="001A2D8F" w:rsidRDefault="001A2D8F" w:rsidP="00A206A3">
      <w:pPr>
        <w:numPr>
          <w:ilvl w:val="0"/>
          <w:numId w:val="7"/>
        </w:numPr>
        <w:contextualSpacing/>
        <w:rPr>
          <w:rFonts w:ascii="Calibri" w:eastAsia="Calibri" w:hAnsi="Calibri" w:cs="Calibri"/>
        </w:rPr>
      </w:pPr>
      <w:r w:rsidRPr="001A2D8F">
        <w:rPr>
          <w:rFonts w:ascii="Calibri" w:eastAsia="Calibri" w:hAnsi="Calibri" w:cs="Calibri"/>
        </w:rPr>
        <w:t>Compu</w:t>
      </w:r>
      <w:r w:rsidR="004172F8">
        <w:rPr>
          <w:rFonts w:ascii="Calibri" w:eastAsia="Calibri" w:hAnsi="Calibri" w:cs="Calibri"/>
        </w:rPr>
        <w:t>ting</w:t>
      </w:r>
      <w:r w:rsidRPr="001A2D8F">
        <w:rPr>
          <w:rFonts w:ascii="Calibri" w:eastAsia="Calibri" w:hAnsi="Calibri" w:cs="Calibri"/>
        </w:rPr>
        <w:t xml:space="preserve"> </w:t>
      </w:r>
      <w:r w:rsidR="009E19FC">
        <w:rPr>
          <w:rFonts w:ascii="Calibri" w:eastAsia="Calibri" w:hAnsi="Calibri" w:cs="Calibri"/>
        </w:rPr>
        <w:t>a C</w:t>
      </w:r>
      <w:r w:rsidR="00AB3632">
        <w:rPr>
          <w:rFonts w:ascii="Calibri" w:eastAsia="Calibri" w:hAnsi="Calibri" w:cs="Calibri"/>
        </w:rPr>
        <w:t>S</w:t>
      </w:r>
      <w:r w:rsidR="009E19FC">
        <w:rPr>
          <w:rFonts w:ascii="Calibri" w:eastAsia="Calibri" w:hAnsi="Calibri" w:cs="Calibri"/>
        </w:rPr>
        <w:t>B-level BHI in Virginia using Zip Code Tabulation Area (ZCTA)-level Census</w:t>
      </w:r>
      <w:r w:rsidR="0022484B">
        <w:rPr>
          <w:rFonts w:ascii="Calibri" w:eastAsia="Calibri" w:hAnsi="Calibri" w:cs="Calibri"/>
        </w:rPr>
        <w:t xml:space="preserve"> indicator </w:t>
      </w:r>
      <w:r w:rsidR="009E19FC">
        <w:rPr>
          <w:rFonts w:ascii="Calibri" w:eastAsia="Calibri" w:hAnsi="Calibri" w:cs="Calibri"/>
        </w:rPr>
        <w:t>data linked to Zip Code-level APCD data for each of the three health outcomes (SMI, SED, SUD)</w:t>
      </w:r>
    </w:p>
    <w:p w14:paraId="4F6FE11C" w14:textId="088205F8" w:rsidR="009E19FC" w:rsidRPr="00FE58D8" w:rsidRDefault="009E19FC" w:rsidP="00A206A3">
      <w:pPr>
        <w:numPr>
          <w:ilvl w:val="0"/>
          <w:numId w:val="7"/>
        </w:numPr>
        <w:contextualSpacing/>
        <w:rPr>
          <w:rFonts w:ascii="Calibri" w:eastAsia="Calibri" w:hAnsi="Calibri" w:cs="Calibri"/>
        </w:rPr>
      </w:pPr>
      <w:r>
        <w:rPr>
          <w:rFonts w:ascii="Calibri" w:eastAsia="Calibri" w:hAnsi="Calibri" w:cs="Calibri"/>
        </w:rPr>
        <w:t>Comput</w:t>
      </w:r>
      <w:r w:rsidR="004172F8">
        <w:rPr>
          <w:rFonts w:ascii="Calibri" w:eastAsia="Calibri" w:hAnsi="Calibri" w:cs="Calibri"/>
        </w:rPr>
        <w:t>ing</w:t>
      </w:r>
      <w:r>
        <w:rPr>
          <w:rFonts w:ascii="Calibri" w:eastAsia="Calibri" w:hAnsi="Calibri" w:cs="Calibri"/>
        </w:rPr>
        <w:t xml:space="preserve"> a summary BHI which model</w:t>
      </w:r>
      <w:r w:rsidR="0022484B">
        <w:rPr>
          <w:rFonts w:ascii="Calibri" w:eastAsia="Calibri" w:hAnsi="Calibri" w:cs="Calibri"/>
        </w:rPr>
        <w:t>ed</w:t>
      </w:r>
      <w:r>
        <w:rPr>
          <w:rFonts w:ascii="Calibri" w:eastAsia="Calibri" w:hAnsi="Calibri" w:cs="Calibri"/>
        </w:rPr>
        <w:t xml:space="preserve"> Census </w:t>
      </w:r>
      <w:r w:rsidR="0022484B">
        <w:rPr>
          <w:rFonts w:ascii="Calibri" w:eastAsia="Calibri" w:hAnsi="Calibri" w:cs="Calibri"/>
        </w:rPr>
        <w:t xml:space="preserve">indicator </w:t>
      </w:r>
      <w:r>
        <w:rPr>
          <w:rFonts w:ascii="Calibri" w:eastAsia="Calibri" w:hAnsi="Calibri" w:cs="Calibri"/>
        </w:rPr>
        <w:t>data against rates of having any one of the three outcomes (SMI, SED, or SUD)</w:t>
      </w:r>
    </w:p>
    <w:p w14:paraId="1E243E45" w14:textId="765FBA55" w:rsidR="004A2CD3" w:rsidRDefault="004A2CD3" w:rsidP="00A206A3">
      <w:pPr>
        <w:rPr>
          <w:rFonts w:asciiTheme="minorHAnsi" w:hAnsiTheme="minorHAnsi" w:cstheme="minorHAnsi"/>
        </w:rPr>
      </w:pPr>
      <w:r>
        <w:rPr>
          <w:rFonts w:asciiTheme="minorHAnsi" w:hAnsiTheme="minorHAnsi" w:cstheme="minorHAnsi"/>
        </w:rPr>
        <w:t xml:space="preserve"> </w:t>
      </w:r>
    </w:p>
    <w:p w14:paraId="1C070D89" w14:textId="77777777" w:rsidR="0087477E" w:rsidRDefault="0087477E">
      <w:pPr>
        <w:spacing w:after="160" w:line="259" w:lineRule="auto"/>
        <w:rPr>
          <w:rFonts w:ascii="Calibri" w:eastAsia="MS Gothic" w:hAnsi="Calibri"/>
          <w:b/>
          <w:bCs/>
          <w:i/>
          <w:iCs/>
          <w:color w:val="0E6395"/>
          <w:sz w:val="28"/>
          <w:lang w:eastAsia="en-US"/>
        </w:rPr>
      </w:pPr>
      <w:r>
        <w:rPr>
          <w:rFonts w:ascii="Calibri" w:eastAsia="MS Gothic" w:hAnsi="Calibri"/>
          <w:b/>
          <w:bCs/>
          <w:i/>
          <w:iCs/>
          <w:color w:val="0E6395"/>
          <w:sz w:val="28"/>
          <w:lang w:eastAsia="en-US"/>
        </w:rPr>
        <w:br w:type="page"/>
      </w:r>
    </w:p>
    <w:p w14:paraId="1A49556A" w14:textId="7A369BE1" w:rsidR="00AF4D41" w:rsidRPr="001A2D8F" w:rsidRDefault="00AF4D41" w:rsidP="00A206A3">
      <w:pPr>
        <w:keepNext/>
        <w:keepLines/>
        <w:outlineLvl w:val="1"/>
        <w:rPr>
          <w:rFonts w:ascii="Calibri" w:eastAsia="MS Gothic" w:hAnsi="Calibri"/>
          <w:b/>
          <w:bCs/>
          <w:i/>
          <w:iCs/>
          <w:color w:val="0E6395"/>
          <w:sz w:val="28"/>
          <w:lang w:eastAsia="en-US"/>
        </w:rPr>
      </w:pPr>
      <w:r>
        <w:rPr>
          <w:rFonts w:ascii="Calibri" w:eastAsia="MS Gothic" w:hAnsi="Calibri"/>
          <w:b/>
          <w:bCs/>
          <w:i/>
          <w:iCs/>
          <w:color w:val="0E6395"/>
          <w:sz w:val="28"/>
          <w:lang w:eastAsia="en-US"/>
        </w:rPr>
        <w:t xml:space="preserve">Computing Crude Rates </w:t>
      </w:r>
    </w:p>
    <w:p w14:paraId="2752D0BD" w14:textId="77777777" w:rsidR="003A515D" w:rsidRDefault="003A515D" w:rsidP="00A206A3">
      <w:pPr>
        <w:rPr>
          <w:rFonts w:asciiTheme="minorHAnsi" w:hAnsiTheme="minorHAnsi" w:cstheme="minorHAnsi"/>
          <w:b/>
          <w:bCs/>
          <w:i/>
          <w:iCs/>
        </w:rPr>
      </w:pPr>
    </w:p>
    <w:p w14:paraId="70F5976E" w14:textId="6ED00333" w:rsidR="00394536" w:rsidRDefault="00394536" w:rsidP="00A206A3">
      <w:pPr>
        <w:rPr>
          <w:rFonts w:asciiTheme="minorHAnsi" w:hAnsiTheme="minorHAnsi" w:cstheme="minorHAnsi"/>
          <w:b/>
          <w:bCs/>
          <w:i/>
          <w:iCs/>
        </w:rPr>
      </w:pPr>
      <w:r w:rsidRPr="00394536">
        <w:rPr>
          <w:rFonts w:asciiTheme="minorHAnsi" w:hAnsiTheme="minorHAnsi" w:cstheme="minorHAnsi"/>
          <w:b/>
          <w:bCs/>
          <w:i/>
          <w:iCs/>
        </w:rPr>
        <w:t xml:space="preserve">Zip </w:t>
      </w:r>
      <w:r w:rsidR="007F1167">
        <w:rPr>
          <w:rFonts w:asciiTheme="minorHAnsi" w:hAnsiTheme="minorHAnsi" w:cstheme="minorHAnsi"/>
          <w:b/>
          <w:bCs/>
          <w:i/>
          <w:iCs/>
        </w:rPr>
        <w:t>C</w:t>
      </w:r>
      <w:r w:rsidRPr="00394536">
        <w:rPr>
          <w:rFonts w:asciiTheme="minorHAnsi" w:hAnsiTheme="minorHAnsi" w:cstheme="minorHAnsi"/>
          <w:b/>
          <w:bCs/>
          <w:i/>
          <w:iCs/>
        </w:rPr>
        <w:t xml:space="preserve">ode </w:t>
      </w:r>
      <w:r w:rsidR="000A52C1">
        <w:rPr>
          <w:rFonts w:asciiTheme="minorHAnsi" w:hAnsiTheme="minorHAnsi" w:cstheme="minorHAnsi"/>
          <w:b/>
          <w:bCs/>
          <w:i/>
          <w:iCs/>
        </w:rPr>
        <w:t>Prevalence R</w:t>
      </w:r>
      <w:r w:rsidR="0062690D">
        <w:rPr>
          <w:rFonts w:asciiTheme="minorHAnsi" w:hAnsiTheme="minorHAnsi" w:cstheme="minorHAnsi"/>
          <w:b/>
          <w:bCs/>
          <w:i/>
          <w:iCs/>
        </w:rPr>
        <w:t>ates</w:t>
      </w:r>
    </w:p>
    <w:p w14:paraId="78A6676B" w14:textId="77777777" w:rsidR="00F9567D" w:rsidRDefault="00F9567D" w:rsidP="00A206A3">
      <w:pPr>
        <w:rPr>
          <w:rFonts w:asciiTheme="minorHAnsi" w:hAnsiTheme="minorHAnsi" w:cstheme="minorHAnsi"/>
          <w:i/>
          <w:iCs/>
        </w:rPr>
      </w:pPr>
    </w:p>
    <w:p w14:paraId="022588D3" w14:textId="4A173DB0" w:rsidR="00F9567D" w:rsidRPr="00F9567D" w:rsidRDefault="00F9567D" w:rsidP="00A206A3">
      <w:pPr>
        <w:rPr>
          <w:rFonts w:asciiTheme="minorHAnsi" w:hAnsiTheme="minorHAnsi" w:cstheme="minorHAnsi"/>
          <w:i/>
          <w:iCs/>
        </w:rPr>
      </w:pPr>
      <w:r w:rsidRPr="00F9567D">
        <w:rPr>
          <w:rFonts w:asciiTheme="minorHAnsi" w:hAnsiTheme="minorHAnsi" w:cstheme="minorHAnsi"/>
          <w:i/>
          <w:iCs/>
        </w:rPr>
        <w:t>Numerators</w:t>
      </w:r>
    </w:p>
    <w:p w14:paraId="669C4883" w14:textId="4DAF6230" w:rsidR="00394536" w:rsidRPr="00F94935" w:rsidRDefault="00AF4D41" w:rsidP="00A206A3">
      <w:pPr>
        <w:rPr>
          <w:rFonts w:asciiTheme="minorHAnsi" w:hAnsiTheme="minorHAnsi" w:cstheme="minorHAnsi"/>
        </w:rPr>
      </w:pPr>
      <w:r>
        <w:rPr>
          <w:rFonts w:asciiTheme="minorHAnsi" w:hAnsiTheme="minorHAnsi" w:cstheme="minorHAnsi"/>
        </w:rPr>
        <w:t>C</w:t>
      </w:r>
      <w:r w:rsidR="00394536" w:rsidRPr="00F94935">
        <w:rPr>
          <w:rFonts w:asciiTheme="minorHAnsi" w:hAnsiTheme="minorHAnsi" w:cstheme="minorHAnsi"/>
        </w:rPr>
        <w:t xml:space="preserve">ounts of unique individuals with </w:t>
      </w:r>
      <w:r>
        <w:rPr>
          <w:rFonts w:asciiTheme="minorHAnsi" w:hAnsiTheme="minorHAnsi" w:cstheme="minorHAnsi"/>
        </w:rPr>
        <w:t>at least one claim</w:t>
      </w:r>
      <w:r w:rsidR="005B6AD7">
        <w:rPr>
          <w:rStyle w:val="FootnoteReference"/>
          <w:rFonts w:asciiTheme="minorHAnsi" w:hAnsiTheme="minorHAnsi" w:cstheme="minorHAnsi"/>
        </w:rPr>
        <w:footnoteReference w:id="1"/>
      </w:r>
      <w:r>
        <w:rPr>
          <w:rFonts w:asciiTheme="minorHAnsi" w:hAnsiTheme="minorHAnsi" w:cstheme="minorHAnsi"/>
        </w:rPr>
        <w:t xml:space="preserve"> by Zip Code for </w:t>
      </w:r>
      <w:r w:rsidR="00394536" w:rsidRPr="00F94935">
        <w:rPr>
          <w:rFonts w:asciiTheme="minorHAnsi" w:hAnsiTheme="minorHAnsi" w:cstheme="minorHAnsi"/>
        </w:rPr>
        <w:t xml:space="preserve">each of the following four </w:t>
      </w:r>
      <w:r w:rsidR="00AB3632">
        <w:rPr>
          <w:rFonts w:asciiTheme="minorHAnsi" w:hAnsiTheme="minorHAnsi" w:cstheme="minorHAnsi"/>
        </w:rPr>
        <w:t xml:space="preserve">categories </w:t>
      </w:r>
      <w:r w:rsidR="00394536" w:rsidRPr="00F94935">
        <w:rPr>
          <w:rFonts w:asciiTheme="minorHAnsi" w:hAnsiTheme="minorHAnsi" w:cstheme="minorHAnsi"/>
        </w:rPr>
        <w:t xml:space="preserve">were </w:t>
      </w:r>
      <w:r w:rsidR="000453E5">
        <w:rPr>
          <w:rFonts w:asciiTheme="minorHAnsi" w:hAnsiTheme="minorHAnsi" w:cstheme="minorHAnsi"/>
        </w:rPr>
        <w:t xml:space="preserve">computed </w:t>
      </w:r>
      <w:r w:rsidR="00394536" w:rsidRPr="00F94935">
        <w:rPr>
          <w:rFonts w:asciiTheme="minorHAnsi" w:hAnsiTheme="minorHAnsi" w:cstheme="minorHAnsi"/>
        </w:rPr>
        <w:t xml:space="preserve">from </w:t>
      </w:r>
      <w:r>
        <w:rPr>
          <w:rFonts w:asciiTheme="minorHAnsi" w:hAnsiTheme="minorHAnsi" w:cstheme="minorHAnsi"/>
        </w:rPr>
        <w:t xml:space="preserve">the </w:t>
      </w:r>
      <w:r w:rsidR="00394536" w:rsidRPr="00F94935">
        <w:rPr>
          <w:rFonts w:asciiTheme="minorHAnsi" w:hAnsiTheme="minorHAnsi" w:cstheme="minorHAnsi"/>
        </w:rPr>
        <w:t>Virginia All Payers Claims Database (APCD) data</w:t>
      </w:r>
      <w:r>
        <w:rPr>
          <w:rFonts w:asciiTheme="minorHAnsi" w:hAnsiTheme="minorHAnsi" w:cstheme="minorHAnsi"/>
        </w:rPr>
        <w:t xml:space="preserve"> for calendar year 2018</w:t>
      </w:r>
      <w:r w:rsidR="00394536" w:rsidRPr="00F94935">
        <w:rPr>
          <w:rFonts w:asciiTheme="minorHAnsi" w:hAnsiTheme="minorHAnsi" w:cstheme="minorHAnsi"/>
        </w:rPr>
        <w:t>:</w:t>
      </w:r>
    </w:p>
    <w:p w14:paraId="1496AC20" w14:textId="02B5A464" w:rsidR="00394536" w:rsidRPr="00F94935" w:rsidRDefault="00394536" w:rsidP="00A206A3">
      <w:pPr>
        <w:pStyle w:val="ListParagraph"/>
        <w:numPr>
          <w:ilvl w:val="0"/>
          <w:numId w:val="6"/>
        </w:numPr>
        <w:rPr>
          <w:rFonts w:asciiTheme="minorHAnsi" w:hAnsiTheme="minorHAnsi" w:cstheme="minorHAnsi"/>
        </w:rPr>
      </w:pPr>
      <w:r w:rsidRPr="00F94935">
        <w:rPr>
          <w:rFonts w:asciiTheme="minorHAnsi" w:hAnsiTheme="minorHAnsi" w:cstheme="minorHAnsi"/>
        </w:rPr>
        <w:t>Severe Emotional Disturbance (SED) among children ages 8 to 17 years</w:t>
      </w:r>
    </w:p>
    <w:p w14:paraId="7355F5A1" w14:textId="77777777" w:rsidR="00394536" w:rsidRPr="00F94935" w:rsidRDefault="00394536" w:rsidP="00A206A3">
      <w:pPr>
        <w:pStyle w:val="ListParagraph"/>
        <w:numPr>
          <w:ilvl w:val="0"/>
          <w:numId w:val="6"/>
        </w:numPr>
        <w:rPr>
          <w:rFonts w:asciiTheme="minorHAnsi" w:hAnsiTheme="minorHAnsi" w:cstheme="minorHAnsi"/>
        </w:rPr>
      </w:pPr>
      <w:r>
        <w:rPr>
          <w:rFonts w:asciiTheme="minorHAnsi" w:hAnsiTheme="minorHAnsi" w:cstheme="minorHAnsi"/>
        </w:rPr>
        <w:t xml:space="preserve">Serious </w:t>
      </w:r>
      <w:r w:rsidRPr="00F94935">
        <w:rPr>
          <w:rFonts w:asciiTheme="minorHAnsi" w:hAnsiTheme="minorHAnsi" w:cstheme="minorHAnsi"/>
        </w:rPr>
        <w:t>Mental I</w:t>
      </w:r>
      <w:r>
        <w:rPr>
          <w:rFonts w:asciiTheme="minorHAnsi" w:hAnsiTheme="minorHAnsi" w:cstheme="minorHAnsi"/>
        </w:rPr>
        <w:t>llness</w:t>
      </w:r>
      <w:r w:rsidRPr="00F94935">
        <w:rPr>
          <w:rFonts w:asciiTheme="minorHAnsi" w:hAnsiTheme="minorHAnsi" w:cstheme="minorHAnsi"/>
        </w:rPr>
        <w:t xml:space="preserve"> (SMI) among adults ages 18+ years</w:t>
      </w:r>
    </w:p>
    <w:p w14:paraId="43BD0F8F" w14:textId="77777777" w:rsidR="00394536" w:rsidRPr="00F94935" w:rsidRDefault="00394536" w:rsidP="00A206A3">
      <w:pPr>
        <w:pStyle w:val="ListParagraph"/>
        <w:numPr>
          <w:ilvl w:val="0"/>
          <w:numId w:val="6"/>
        </w:numPr>
        <w:rPr>
          <w:rFonts w:asciiTheme="minorHAnsi" w:hAnsiTheme="minorHAnsi" w:cstheme="minorHAnsi"/>
        </w:rPr>
      </w:pPr>
      <w:r w:rsidRPr="00F94935">
        <w:rPr>
          <w:rFonts w:asciiTheme="minorHAnsi" w:hAnsiTheme="minorHAnsi" w:cstheme="minorHAnsi"/>
        </w:rPr>
        <w:t>Substance Use Disorder (SUD) among individuals of any age</w:t>
      </w:r>
    </w:p>
    <w:p w14:paraId="470AB458" w14:textId="77777777" w:rsidR="00394536" w:rsidRPr="00F94935" w:rsidRDefault="00394536" w:rsidP="00A206A3">
      <w:pPr>
        <w:pStyle w:val="ListParagraph"/>
        <w:numPr>
          <w:ilvl w:val="0"/>
          <w:numId w:val="6"/>
        </w:numPr>
        <w:rPr>
          <w:rFonts w:asciiTheme="minorHAnsi" w:hAnsiTheme="minorHAnsi" w:cstheme="minorHAnsi"/>
        </w:rPr>
      </w:pPr>
      <w:r w:rsidRPr="00F94935">
        <w:rPr>
          <w:rFonts w:asciiTheme="minorHAnsi" w:hAnsiTheme="minorHAnsi" w:cstheme="minorHAnsi"/>
        </w:rPr>
        <w:t>Combined SED, SMI, or SUD (MULTI) among individuals of any age</w:t>
      </w:r>
    </w:p>
    <w:p w14:paraId="70AE37B7" w14:textId="6F020788" w:rsidR="00394536" w:rsidRDefault="00394536" w:rsidP="00A206A3">
      <w:pPr>
        <w:rPr>
          <w:rFonts w:asciiTheme="minorHAnsi" w:hAnsiTheme="minorHAnsi" w:cstheme="minorHAnsi"/>
          <w:b/>
          <w:bCs/>
        </w:rPr>
      </w:pPr>
    </w:p>
    <w:p w14:paraId="05467DA6" w14:textId="4A57535B" w:rsidR="00394536" w:rsidRDefault="00394536" w:rsidP="00A206A3">
      <w:pPr>
        <w:rPr>
          <w:rFonts w:asciiTheme="minorHAnsi" w:hAnsiTheme="minorHAnsi" w:cstheme="minorHAnsi"/>
        </w:rPr>
      </w:pPr>
      <w:r>
        <w:rPr>
          <w:rFonts w:asciiTheme="minorHAnsi" w:hAnsiTheme="minorHAnsi" w:cstheme="minorHAnsi"/>
        </w:rPr>
        <w:t xml:space="preserve">A detailed list of ICD-10-CM codes used to define each </w:t>
      </w:r>
      <w:r w:rsidR="00AB3632">
        <w:rPr>
          <w:rFonts w:asciiTheme="minorHAnsi" w:hAnsiTheme="minorHAnsi" w:cstheme="minorHAnsi"/>
        </w:rPr>
        <w:t xml:space="preserve">category </w:t>
      </w:r>
      <w:r>
        <w:rPr>
          <w:rFonts w:asciiTheme="minorHAnsi" w:hAnsiTheme="minorHAnsi" w:cstheme="minorHAnsi"/>
        </w:rPr>
        <w:t xml:space="preserve">can be found in </w:t>
      </w:r>
      <w:r w:rsidR="000453E5">
        <w:rPr>
          <w:rFonts w:asciiTheme="minorHAnsi" w:hAnsiTheme="minorHAnsi" w:cstheme="minorHAnsi"/>
        </w:rPr>
        <w:t xml:space="preserve">the </w:t>
      </w:r>
      <w:r>
        <w:rPr>
          <w:rFonts w:asciiTheme="minorHAnsi" w:hAnsiTheme="minorHAnsi" w:cstheme="minorHAnsi"/>
        </w:rPr>
        <w:t>Excel sheet entitled “</w:t>
      </w:r>
      <w:r w:rsidR="000453E5">
        <w:rPr>
          <w:rFonts w:asciiTheme="minorHAnsi" w:hAnsiTheme="minorHAnsi" w:cstheme="minorHAnsi"/>
        </w:rPr>
        <w:t>BHI</w:t>
      </w:r>
      <w:r w:rsidR="00B05CEA">
        <w:rPr>
          <w:rFonts w:asciiTheme="minorHAnsi" w:hAnsiTheme="minorHAnsi" w:cstheme="minorHAnsi"/>
        </w:rPr>
        <w:t>2</w:t>
      </w:r>
      <w:r w:rsidRPr="00394536">
        <w:rPr>
          <w:rFonts w:asciiTheme="minorHAnsi" w:hAnsiTheme="minorHAnsi" w:cstheme="minorHAnsi"/>
        </w:rPr>
        <w:t>_SupplementalTables.xlsx</w:t>
      </w:r>
      <w:r>
        <w:rPr>
          <w:rFonts w:asciiTheme="minorHAnsi" w:hAnsiTheme="minorHAnsi" w:cstheme="minorHAnsi"/>
        </w:rPr>
        <w:t xml:space="preserve">”. </w:t>
      </w:r>
    </w:p>
    <w:p w14:paraId="31EBAB58" w14:textId="39190E0F" w:rsidR="00F9567D" w:rsidRDefault="00F9567D" w:rsidP="00A206A3">
      <w:pPr>
        <w:rPr>
          <w:rFonts w:asciiTheme="minorHAnsi" w:hAnsiTheme="minorHAnsi" w:cstheme="minorHAnsi"/>
          <w:b/>
          <w:bCs/>
        </w:rPr>
      </w:pPr>
    </w:p>
    <w:p w14:paraId="113D2D0B" w14:textId="151DB958" w:rsidR="00F9567D" w:rsidRPr="00F9567D" w:rsidRDefault="00F9567D" w:rsidP="00A206A3">
      <w:pPr>
        <w:rPr>
          <w:rFonts w:asciiTheme="minorHAnsi" w:hAnsiTheme="minorHAnsi" w:cstheme="minorHAnsi"/>
          <w:i/>
          <w:iCs/>
        </w:rPr>
      </w:pPr>
      <w:r w:rsidRPr="00F9567D">
        <w:rPr>
          <w:rFonts w:asciiTheme="minorHAnsi" w:hAnsiTheme="minorHAnsi" w:cstheme="minorHAnsi"/>
          <w:i/>
          <w:iCs/>
        </w:rPr>
        <w:t>Population denominators</w:t>
      </w:r>
    </w:p>
    <w:p w14:paraId="65BB79B6" w14:textId="4842D6A3" w:rsidR="00394536" w:rsidRDefault="0095330D" w:rsidP="00A206A3">
      <w:pPr>
        <w:rPr>
          <w:rFonts w:asciiTheme="minorHAnsi" w:hAnsiTheme="minorHAnsi" w:cstheme="minorHAnsi"/>
        </w:rPr>
      </w:pPr>
      <w:r>
        <w:rPr>
          <w:rFonts w:asciiTheme="minorHAnsi" w:hAnsiTheme="minorHAnsi" w:cstheme="minorHAnsi"/>
        </w:rPr>
        <w:t>Population counts for each Z</w:t>
      </w:r>
      <w:r w:rsidR="00F41535">
        <w:rPr>
          <w:rFonts w:asciiTheme="minorHAnsi" w:hAnsiTheme="minorHAnsi" w:cstheme="minorHAnsi"/>
        </w:rPr>
        <w:t>ip</w:t>
      </w:r>
      <w:r>
        <w:rPr>
          <w:rFonts w:asciiTheme="minorHAnsi" w:hAnsiTheme="minorHAnsi" w:cstheme="minorHAnsi"/>
        </w:rPr>
        <w:t xml:space="preserve"> Code Tabulation Area (ZCTA)</w:t>
      </w:r>
      <w:r w:rsidR="00F41535">
        <w:rPr>
          <w:rStyle w:val="FootnoteReference"/>
          <w:rFonts w:asciiTheme="minorHAnsi" w:hAnsiTheme="minorHAnsi" w:cstheme="minorHAnsi"/>
        </w:rPr>
        <w:footnoteReference w:id="2"/>
      </w:r>
      <w:r>
        <w:rPr>
          <w:rFonts w:asciiTheme="minorHAnsi" w:hAnsiTheme="minorHAnsi" w:cstheme="minorHAnsi"/>
        </w:rPr>
        <w:t xml:space="preserve"> were derived from the U.S. Census Bureau’s </w:t>
      </w:r>
      <w:r w:rsidR="00F9567D" w:rsidRPr="00F94935">
        <w:rPr>
          <w:rFonts w:asciiTheme="minorHAnsi" w:hAnsiTheme="minorHAnsi" w:cstheme="minorHAnsi"/>
        </w:rPr>
        <w:t>2018 American Community Survey (ACS) 5-year data</w:t>
      </w:r>
      <w:r>
        <w:rPr>
          <w:rFonts w:asciiTheme="minorHAnsi" w:hAnsiTheme="minorHAnsi" w:cstheme="minorHAnsi"/>
        </w:rPr>
        <w:t>.</w:t>
      </w:r>
      <w:r>
        <w:rPr>
          <w:rStyle w:val="FootnoteReference"/>
          <w:rFonts w:asciiTheme="minorHAnsi" w:hAnsiTheme="minorHAnsi" w:cstheme="minorHAnsi"/>
        </w:rPr>
        <w:footnoteReference w:id="3"/>
      </w:r>
      <w:r>
        <w:rPr>
          <w:rFonts w:asciiTheme="minorHAnsi" w:hAnsiTheme="minorHAnsi" w:cstheme="minorHAnsi"/>
        </w:rPr>
        <w:t xml:space="preserve"> </w:t>
      </w:r>
      <w:r w:rsidR="00590B1B">
        <w:rPr>
          <w:rFonts w:asciiTheme="minorHAnsi" w:hAnsiTheme="minorHAnsi" w:cstheme="minorHAnsi"/>
        </w:rPr>
        <w:t>Three different population counts were created for each ZCTA: total population for</w:t>
      </w:r>
      <w:r w:rsidR="00AB3632">
        <w:rPr>
          <w:rFonts w:asciiTheme="minorHAnsi" w:hAnsiTheme="minorHAnsi" w:cstheme="minorHAnsi"/>
        </w:rPr>
        <w:t xml:space="preserve"> the denominator of </w:t>
      </w:r>
      <w:r w:rsidR="00590B1B">
        <w:rPr>
          <w:rFonts w:asciiTheme="minorHAnsi" w:hAnsiTheme="minorHAnsi" w:cstheme="minorHAnsi"/>
        </w:rPr>
        <w:t>SUD and MULTI rates</w:t>
      </w:r>
      <w:r w:rsidR="00AB3632">
        <w:rPr>
          <w:rFonts w:asciiTheme="minorHAnsi" w:hAnsiTheme="minorHAnsi" w:cstheme="minorHAnsi"/>
        </w:rPr>
        <w:t>,</w:t>
      </w:r>
      <w:r w:rsidR="00590B1B">
        <w:rPr>
          <w:rFonts w:asciiTheme="minorHAnsi" w:hAnsiTheme="minorHAnsi" w:cstheme="minorHAnsi"/>
        </w:rPr>
        <w:t xml:space="preserve"> 18+ years for SMI, and 8 to 17 years for SED. </w:t>
      </w:r>
      <w:r w:rsidR="004B306D" w:rsidRPr="004B306D">
        <w:rPr>
          <w:rFonts w:asciiTheme="minorHAnsi" w:hAnsiTheme="minorHAnsi" w:cstheme="minorHAnsi"/>
        </w:rPr>
        <w:t xml:space="preserve">Since population estimates for </w:t>
      </w:r>
      <w:r w:rsidR="00590B1B">
        <w:rPr>
          <w:rFonts w:asciiTheme="minorHAnsi" w:hAnsiTheme="minorHAnsi" w:cstheme="minorHAnsi"/>
        </w:rPr>
        <w:t xml:space="preserve">the 8 to 17 years </w:t>
      </w:r>
      <w:r w:rsidR="00B75267">
        <w:rPr>
          <w:rFonts w:asciiTheme="minorHAnsi" w:hAnsiTheme="minorHAnsi" w:cstheme="minorHAnsi"/>
        </w:rPr>
        <w:t xml:space="preserve">category </w:t>
      </w:r>
      <w:r w:rsidR="00590B1B">
        <w:rPr>
          <w:rFonts w:asciiTheme="minorHAnsi" w:hAnsiTheme="minorHAnsi" w:cstheme="minorHAnsi"/>
        </w:rPr>
        <w:t xml:space="preserve">did </w:t>
      </w:r>
      <w:r w:rsidR="004B306D" w:rsidRPr="004B306D">
        <w:rPr>
          <w:rFonts w:asciiTheme="minorHAnsi" w:hAnsiTheme="minorHAnsi" w:cstheme="minorHAnsi"/>
        </w:rPr>
        <w:t>not exist in the ACS data</w:t>
      </w:r>
      <w:r w:rsidR="00590B1B">
        <w:rPr>
          <w:rFonts w:asciiTheme="minorHAnsi" w:hAnsiTheme="minorHAnsi" w:cstheme="minorHAnsi"/>
        </w:rPr>
        <w:t xml:space="preserve">, </w:t>
      </w:r>
      <w:r w:rsidR="004B306D" w:rsidRPr="004B306D">
        <w:rPr>
          <w:rFonts w:asciiTheme="minorHAnsi" w:hAnsiTheme="minorHAnsi" w:cstheme="minorHAnsi"/>
        </w:rPr>
        <w:t xml:space="preserve">we </w:t>
      </w:r>
      <w:r w:rsidR="00590B1B">
        <w:rPr>
          <w:rFonts w:asciiTheme="minorHAnsi" w:hAnsiTheme="minorHAnsi" w:cstheme="minorHAnsi"/>
        </w:rPr>
        <w:t xml:space="preserve">had to estimate </w:t>
      </w:r>
      <w:r w:rsidR="004B306D" w:rsidRPr="004B306D">
        <w:rPr>
          <w:rFonts w:asciiTheme="minorHAnsi" w:hAnsiTheme="minorHAnsi" w:cstheme="minorHAnsi"/>
        </w:rPr>
        <w:t>the population size</w:t>
      </w:r>
      <w:r w:rsidR="00AB3632">
        <w:rPr>
          <w:rFonts w:asciiTheme="minorHAnsi" w:hAnsiTheme="minorHAnsi" w:cstheme="minorHAnsi"/>
        </w:rPr>
        <w:t xml:space="preserve"> for</w:t>
      </w:r>
      <w:r w:rsidR="004B306D" w:rsidRPr="004B306D">
        <w:rPr>
          <w:rFonts w:asciiTheme="minorHAnsi" w:hAnsiTheme="minorHAnsi" w:cstheme="minorHAnsi"/>
        </w:rPr>
        <w:t xml:space="preserve"> </w:t>
      </w:r>
      <w:r w:rsidR="00B75267">
        <w:rPr>
          <w:rFonts w:asciiTheme="minorHAnsi" w:hAnsiTheme="minorHAnsi" w:cstheme="minorHAnsi"/>
        </w:rPr>
        <w:t>the SED denominator</w:t>
      </w:r>
      <w:r w:rsidR="00590B1B">
        <w:rPr>
          <w:rFonts w:asciiTheme="minorHAnsi" w:hAnsiTheme="minorHAnsi" w:cstheme="minorHAnsi"/>
        </w:rPr>
        <w:t xml:space="preserve">. This was done by “removing” </w:t>
      </w:r>
      <w:r w:rsidR="00102881">
        <w:rPr>
          <w:rFonts w:asciiTheme="minorHAnsi" w:hAnsiTheme="minorHAnsi" w:cstheme="minorHAnsi"/>
        </w:rPr>
        <w:t>5- to 7-year-olds</w:t>
      </w:r>
      <w:r w:rsidR="00590B1B">
        <w:rPr>
          <w:rFonts w:asciiTheme="minorHAnsi" w:hAnsiTheme="minorHAnsi" w:cstheme="minorHAnsi"/>
        </w:rPr>
        <w:t xml:space="preserve"> from the ACS reported </w:t>
      </w:r>
      <w:r w:rsidR="00102881">
        <w:rPr>
          <w:rFonts w:asciiTheme="minorHAnsi" w:hAnsiTheme="minorHAnsi" w:cstheme="minorHAnsi"/>
        </w:rPr>
        <w:t>5- to 17-year-old</w:t>
      </w:r>
      <w:r w:rsidR="00590B1B">
        <w:rPr>
          <w:rFonts w:asciiTheme="minorHAnsi" w:hAnsiTheme="minorHAnsi" w:cstheme="minorHAnsi"/>
        </w:rPr>
        <w:t xml:space="preserve"> </w:t>
      </w:r>
      <w:r w:rsidR="00B75267">
        <w:rPr>
          <w:rFonts w:asciiTheme="minorHAnsi" w:hAnsiTheme="minorHAnsi" w:cstheme="minorHAnsi"/>
        </w:rPr>
        <w:t>population count</w:t>
      </w:r>
      <w:r w:rsidR="00590B1B">
        <w:rPr>
          <w:rFonts w:asciiTheme="minorHAnsi" w:hAnsiTheme="minorHAnsi" w:cstheme="minorHAnsi"/>
        </w:rPr>
        <w:t xml:space="preserve">. Under the assumption that the population distribution was relatively equal in the </w:t>
      </w:r>
      <w:r w:rsidR="00102881">
        <w:rPr>
          <w:rFonts w:asciiTheme="minorHAnsi" w:hAnsiTheme="minorHAnsi" w:cstheme="minorHAnsi"/>
        </w:rPr>
        <w:t>5-to-9-year</w:t>
      </w:r>
      <w:r w:rsidR="00590B1B">
        <w:rPr>
          <w:rFonts w:asciiTheme="minorHAnsi" w:hAnsiTheme="minorHAnsi" w:cstheme="minorHAnsi"/>
        </w:rPr>
        <w:t xml:space="preserve"> age range, we added two-fifths of the ACS reported </w:t>
      </w:r>
      <w:r w:rsidR="00102881">
        <w:rPr>
          <w:rFonts w:asciiTheme="minorHAnsi" w:hAnsiTheme="minorHAnsi" w:cstheme="minorHAnsi"/>
        </w:rPr>
        <w:t>5-to-9-year</w:t>
      </w:r>
      <w:r w:rsidR="00590B1B">
        <w:rPr>
          <w:rFonts w:asciiTheme="minorHAnsi" w:hAnsiTheme="minorHAnsi" w:cstheme="minorHAnsi"/>
        </w:rPr>
        <w:t xml:space="preserve"> population </w:t>
      </w:r>
      <w:r w:rsidR="00B75267">
        <w:rPr>
          <w:rFonts w:asciiTheme="minorHAnsi" w:hAnsiTheme="minorHAnsi" w:cstheme="minorHAnsi"/>
        </w:rPr>
        <w:t xml:space="preserve">(i.e., multiplied it by 0.4) </w:t>
      </w:r>
      <w:r w:rsidR="00590B1B">
        <w:rPr>
          <w:rFonts w:asciiTheme="minorHAnsi" w:hAnsiTheme="minorHAnsi" w:cstheme="minorHAnsi"/>
        </w:rPr>
        <w:t xml:space="preserve">to the </w:t>
      </w:r>
      <w:r w:rsidR="00B75267">
        <w:rPr>
          <w:rFonts w:asciiTheme="minorHAnsi" w:hAnsiTheme="minorHAnsi" w:cstheme="minorHAnsi"/>
        </w:rPr>
        <w:t xml:space="preserve">ACS reported </w:t>
      </w:r>
      <w:r w:rsidR="0087477E">
        <w:rPr>
          <w:rFonts w:asciiTheme="minorHAnsi" w:hAnsiTheme="minorHAnsi" w:cstheme="minorHAnsi"/>
        </w:rPr>
        <w:t>10-to-17-year</w:t>
      </w:r>
      <w:r w:rsidR="00B75267">
        <w:rPr>
          <w:rFonts w:asciiTheme="minorHAnsi" w:hAnsiTheme="minorHAnsi" w:cstheme="minorHAnsi"/>
        </w:rPr>
        <w:t xml:space="preserve"> </w:t>
      </w:r>
      <w:r w:rsidR="004B306D" w:rsidRPr="004B306D">
        <w:rPr>
          <w:rFonts w:asciiTheme="minorHAnsi" w:hAnsiTheme="minorHAnsi" w:cstheme="minorHAnsi"/>
        </w:rPr>
        <w:t>category</w:t>
      </w:r>
      <w:r w:rsidR="00B75267">
        <w:rPr>
          <w:rFonts w:asciiTheme="minorHAnsi" w:hAnsiTheme="minorHAnsi" w:cstheme="minorHAnsi"/>
        </w:rPr>
        <w:t xml:space="preserve"> to create the final </w:t>
      </w:r>
      <w:r w:rsidR="00AB3632">
        <w:rPr>
          <w:rFonts w:asciiTheme="minorHAnsi" w:hAnsiTheme="minorHAnsi" w:cstheme="minorHAnsi"/>
        </w:rPr>
        <w:t>8-to-17-year</w:t>
      </w:r>
      <w:r w:rsidR="00B75267">
        <w:rPr>
          <w:rFonts w:asciiTheme="minorHAnsi" w:hAnsiTheme="minorHAnsi" w:cstheme="minorHAnsi"/>
        </w:rPr>
        <w:t xml:space="preserve"> counts.</w:t>
      </w:r>
    </w:p>
    <w:p w14:paraId="2B173B61" w14:textId="354DCD95" w:rsidR="00B75267" w:rsidRDefault="00B75267" w:rsidP="00A206A3">
      <w:pPr>
        <w:rPr>
          <w:rFonts w:asciiTheme="minorHAnsi" w:hAnsiTheme="minorHAnsi" w:cstheme="minorHAnsi"/>
        </w:rPr>
      </w:pPr>
    </w:p>
    <w:p w14:paraId="15618B82" w14:textId="03221AF6" w:rsidR="00F9567D" w:rsidRPr="00B75267" w:rsidRDefault="00B75267" w:rsidP="00A206A3">
      <w:pPr>
        <w:rPr>
          <w:rFonts w:asciiTheme="minorHAnsi" w:hAnsiTheme="minorHAnsi" w:cstheme="minorHAnsi"/>
          <w:i/>
          <w:iCs/>
        </w:rPr>
      </w:pPr>
      <w:r w:rsidRPr="00B75267">
        <w:rPr>
          <w:rFonts w:asciiTheme="minorHAnsi" w:hAnsiTheme="minorHAnsi" w:cstheme="minorHAnsi"/>
          <w:i/>
          <w:iCs/>
        </w:rPr>
        <w:t xml:space="preserve">Crude </w:t>
      </w:r>
      <w:r w:rsidR="00AB3632">
        <w:rPr>
          <w:rFonts w:asciiTheme="minorHAnsi" w:hAnsiTheme="minorHAnsi" w:cstheme="minorHAnsi"/>
          <w:i/>
          <w:iCs/>
        </w:rPr>
        <w:t xml:space="preserve">Prevalence </w:t>
      </w:r>
      <w:r w:rsidRPr="00B75267">
        <w:rPr>
          <w:rFonts w:asciiTheme="minorHAnsi" w:hAnsiTheme="minorHAnsi" w:cstheme="minorHAnsi"/>
          <w:i/>
          <w:iCs/>
        </w:rPr>
        <w:t>Rates</w:t>
      </w:r>
    </w:p>
    <w:p w14:paraId="6F91212A" w14:textId="38796C86" w:rsidR="00A206A3" w:rsidRDefault="00FD30AA" w:rsidP="00A206A3">
      <w:pPr>
        <w:rPr>
          <w:rFonts w:asciiTheme="minorHAnsi" w:hAnsiTheme="minorHAnsi" w:cstheme="minorHAnsi"/>
        </w:rPr>
      </w:pPr>
      <w:r>
        <w:rPr>
          <w:rFonts w:asciiTheme="minorHAnsi" w:hAnsiTheme="minorHAnsi" w:cstheme="minorHAnsi"/>
        </w:rPr>
        <w:t xml:space="preserve">Crude rates per </w:t>
      </w:r>
      <w:r w:rsidR="0022484B">
        <w:rPr>
          <w:rFonts w:asciiTheme="minorHAnsi" w:hAnsiTheme="minorHAnsi" w:cstheme="minorHAnsi"/>
        </w:rPr>
        <w:t>1,000</w:t>
      </w:r>
      <w:r>
        <w:rPr>
          <w:rFonts w:asciiTheme="minorHAnsi" w:hAnsiTheme="minorHAnsi" w:cstheme="minorHAnsi"/>
        </w:rPr>
        <w:t xml:space="preserve"> </w:t>
      </w:r>
      <w:r w:rsidR="00AB3632">
        <w:rPr>
          <w:rFonts w:asciiTheme="minorHAnsi" w:hAnsiTheme="minorHAnsi" w:cstheme="minorHAnsi"/>
        </w:rPr>
        <w:t xml:space="preserve">population </w:t>
      </w:r>
      <w:r>
        <w:rPr>
          <w:rFonts w:asciiTheme="minorHAnsi" w:hAnsiTheme="minorHAnsi" w:cstheme="minorHAnsi"/>
        </w:rPr>
        <w:t>for each ZCTA were computed by dividing the counts of unique persons with at least one claim for each outcome (SED, SMI, SUD, MULTI) by the corresponding population denominator.</w:t>
      </w:r>
    </w:p>
    <w:p w14:paraId="4E893B51" w14:textId="77777777" w:rsidR="00FC2ADD" w:rsidRDefault="00FC2ADD" w:rsidP="00A206A3">
      <w:pPr>
        <w:rPr>
          <w:rFonts w:asciiTheme="minorHAnsi" w:hAnsiTheme="minorHAnsi" w:cstheme="minorHAnsi"/>
        </w:rPr>
      </w:pPr>
    </w:p>
    <w:p w14:paraId="5A564901" w14:textId="78E03ECB" w:rsidR="00FD30AA" w:rsidRDefault="00FD30AA" w:rsidP="00A206A3">
      <w:pPr>
        <w:rPr>
          <w:rFonts w:asciiTheme="minorHAnsi" w:hAnsiTheme="minorHAnsi" w:cstheme="minorHAnsi"/>
        </w:rPr>
      </w:pPr>
      <w:r w:rsidRPr="00FD30AA">
        <w:rPr>
          <w:rFonts w:asciiTheme="minorHAnsi" w:hAnsiTheme="minorHAnsi" w:cstheme="minorHAnsi"/>
        </w:rPr>
        <w:t>According to the basic guidelines for computing binomial confidence intervals, it is recommended to avoid using the simple normal approximation method when a product value (proportion with the health outcome (</w:t>
      </w:r>
      <w:r w:rsidRPr="00FD30AA">
        <w:rPr>
          <w:rFonts w:asciiTheme="minorHAnsi" w:hAnsiTheme="minorHAnsi" w:cstheme="minorHAnsi"/>
          <w:i/>
        </w:rPr>
        <w:t>p</w:t>
      </w:r>
      <w:r w:rsidRPr="00FD30AA">
        <w:rPr>
          <w:rFonts w:asciiTheme="minorHAnsi" w:hAnsiTheme="minorHAnsi" w:cstheme="minorHAnsi"/>
        </w:rPr>
        <w:t>), proportion without the health outcome (</w:t>
      </w:r>
      <w:r w:rsidRPr="00FD30AA">
        <w:rPr>
          <w:rFonts w:asciiTheme="minorHAnsi" w:hAnsiTheme="minorHAnsi" w:cstheme="minorHAnsi"/>
          <w:i/>
        </w:rPr>
        <w:t>q</w:t>
      </w:r>
      <w:r w:rsidRPr="00FD30AA">
        <w:rPr>
          <w:rFonts w:asciiTheme="minorHAnsi" w:hAnsiTheme="minorHAnsi" w:cstheme="minorHAnsi"/>
        </w:rPr>
        <w:t>), and sample size (</w:t>
      </w:r>
      <w:r w:rsidRPr="00FD30AA">
        <w:rPr>
          <w:rFonts w:asciiTheme="minorHAnsi" w:hAnsiTheme="minorHAnsi" w:cstheme="minorHAnsi"/>
          <w:i/>
        </w:rPr>
        <w:t>n</w:t>
      </w:r>
      <w:r w:rsidRPr="00FD30AA">
        <w:rPr>
          <w:rFonts w:asciiTheme="minorHAnsi" w:hAnsiTheme="minorHAnsi" w:cstheme="minorHAnsi"/>
        </w:rPr>
        <w:t>) multiplied together) is between 0 and 5.</w:t>
      </w:r>
      <w:r w:rsidR="002469B5">
        <w:rPr>
          <w:rStyle w:val="FootnoteReference"/>
          <w:rFonts w:asciiTheme="minorHAnsi" w:hAnsiTheme="minorHAnsi" w:cstheme="minorHAnsi"/>
        </w:rPr>
        <w:footnoteReference w:id="4"/>
      </w:r>
      <w:r w:rsidRPr="00FD30AA">
        <w:rPr>
          <w:rFonts w:asciiTheme="minorHAnsi" w:hAnsiTheme="minorHAnsi" w:cstheme="minorHAnsi"/>
        </w:rPr>
        <w:t xml:space="preserve"> </w:t>
      </w:r>
      <w:r w:rsidR="00AB3632">
        <w:rPr>
          <w:rFonts w:asciiTheme="minorHAnsi" w:hAnsiTheme="minorHAnsi" w:cstheme="minorHAnsi"/>
        </w:rPr>
        <w:t>Thus</w:t>
      </w:r>
      <w:r w:rsidRPr="00FD30AA">
        <w:rPr>
          <w:rFonts w:asciiTheme="minorHAnsi" w:hAnsiTheme="minorHAnsi" w:cstheme="minorHAnsi"/>
        </w:rPr>
        <w:t xml:space="preserve">, we flagged any ZCTAs (assigning 1 if it met the criteria, otherwise 0) accordingly to compute more appropriate version of confidence intervals for the health outcome prevalence rates. </w:t>
      </w:r>
    </w:p>
    <w:p w14:paraId="27A582C6" w14:textId="77777777" w:rsidR="00FC2ADD" w:rsidRPr="00FD30AA" w:rsidRDefault="00FC2ADD" w:rsidP="00A206A3">
      <w:pPr>
        <w:rPr>
          <w:rFonts w:asciiTheme="minorHAnsi" w:hAnsiTheme="minorHAnsi" w:cstheme="minorHAnsi"/>
        </w:rPr>
      </w:pPr>
    </w:p>
    <w:p w14:paraId="75359046" w14:textId="6094CD5C" w:rsidR="00FD30AA" w:rsidRDefault="00FD30AA" w:rsidP="00A206A3">
      <w:pPr>
        <w:rPr>
          <w:rFonts w:asciiTheme="minorHAnsi" w:hAnsiTheme="minorHAnsi" w:cstheme="minorHAnsi"/>
        </w:rPr>
      </w:pPr>
      <w:r w:rsidRPr="00FD30AA">
        <w:rPr>
          <w:rFonts w:asciiTheme="minorHAnsi" w:hAnsiTheme="minorHAnsi" w:cstheme="minorHAnsi"/>
        </w:rPr>
        <w:t>A simple normal approximation method (i.e., simple Wald interval) is appropriate when sample size (</w:t>
      </w:r>
      <w:r w:rsidRPr="00FD30AA">
        <w:rPr>
          <w:rFonts w:asciiTheme="minorHAnsi" w:hAnsiTheme="minorHAnsi" w:cstheme="minorHAnsi"/>
          <w:i/>
          <w:iCs/>
        </w:rPr>
        <w:t>n</w:t>
      </w:r>
      <w:r w:rsidRPr="00FD30AA">
        <w:rPr>
          <w:rFonts w:asciiTheme="minorHAnsi" w:hAnsiTheme="minorHAnsi" w:cstheme="minorHAnsi"/>
        </w:rPr>
        <w:t>) is large, and proportion of health outcome interest (</w:t>
      </w:r>
      <w:r w:rsidRPr="00FD30AA">
        <w:rPr>
          <w:rFonts w:asciiTheme="minorHAnsi" w:hAnsiTheme="minorHAnsi" w:cstheme="minorHAnsi"/>
          <w:i/>
          <w:iCs/>
        </w:rPr>
        <w:t>p</w:t>
      </w:r>
      <w:r w:rsidRPr="00FD30AA">
        <w:rPr>
          <w:rFonts w:asciiTheme="minorHAnsi" w:hAnsiTheme="minorHAnsi" w:cstheme="minorHAnsi"/>
        </w:rPr>
        <w:t xml:space="preserve">) is neither extremely small nor extremely large. This Wald interval is not appropriate for small values of </w:t>
      </w:r>
      <w:r w:rsidRPr="00FD30AA">
        <w:rPr>
          <w:rFonts w:asciiTheme="minorHAnsi" w:hAnsiTheme="minorHAnsi" w:cstheme="minorHAnsi"/>
          <w:i/>
          <w:iCs/>
        </w:rPr>
        <w:t>p</w:t>
      </w:r>
      <w:r w:rsidRPr="00FD30AA">
        <w:rPr>
          <w:rFonts w:asciiTheme="minorHAnsi" w:hAnsiTheme="minorHAnsi" w:cstheme="minorHAnsi"/>
        </w:rPr>
        <w:t xml:space="preserve"> since it leads to inaccurate estimates.</w:t>
      </w:r>
      <w:r w:rsidRPr="00FD30AA">
        <w:rPr>
          <w:rFonts w:asciiTheme="minorHAnsi" w:hAnsiTheme="minorHAnsi" w:cstheme="minorHAnsi"/>
          <w:vertAlign w:val="superscript"/>
        </w:rPr>
        <w:footnoteReference w:id="5"/>
      </w:r>
      <w:r w:rsidR="00911507">
        <w:rPr>
          <w:rFonts w:asciiTheme="minorHAnsi" w:hAnsiTheme="minorHAnsi" w:cstheme="minorHAnsi"/>
          <w:vertAlign w:val="superscript"/>
        </w:rPr>
        <w:t xml:space="preserve">  </w:t>
      </w:r>
      <w:r w:rsidRPr="00FD30AA">
        <w:rPr>
          <w:rFonts w:asciiTheme="minorHAnsi" w:hAnsiTheme="minorHAnsi" w:cstheme="minorHAnsi"/>
        </w:rPr>
        <w:t xml:space="preserve">So, a reliable statistical approach </w:t>
      </w:r>
      <w:r w:rsidR="00AB3632">
        <w:rPr>
          <w:rFonts w:asciiTheme="minorHAnsi" w:hAnsiTheme="minorHAnsi" w:cstheme="minorHAnsi"/>
        </w:rPr>
        <w:t xml:space="preserve">was adopted </w:t>
      </w:r>
      <w:r w:rsidRPr="00FD30AA">
        <w:rPr>
          <w:rFonts w:asciiTheme="minorHAnsi" w:hAnsiTheme="minorHAnsi" w:cstheme="minorHAnsi"/>
        </w:rPr>
        <w:t>to compute 95% confidence intervals for a binomial proportion using the Clopper-Pearson method based on the beta distribution.</w:t>
      </w:r>
      <w:r w:rsidRPr="00FD30AA">
        <w:rPr>
          <w:rFonts w:asciiTheme="minorHAnsi" w:hAnsiTheme="minorHAnsi" w:cstheme="minorHAnsi"/>
          <w:vertAlign w:val="superscript"/>
        </w:rPr>
        <w:footnoteReference w:id="6"/>
      </w:r>
      <w:r w:rsidRPr="00FD30AA">
        <w:rPr>
          <w:rFonts w:asciiTheme="minorHAnsi" w:hAnsiTheme="minorHAnsi" w:cstheme="minorHAnsi"/>
          <w:vertAlign w:val="superscript"/>
        </w:rPr>
        <w:t xml:space="preserve"> </w:t>
      </w:r>
      <w:r w:rsidRPr="00FD30AA">
        <w:rPr>
          <w:rFonts w:asciiTheme="minorHAnsi" w:hAnsiTheme="minorHAnsi" w:cstheme="minorHAnsi"/>
        </w:rPr>
        <w:t xml:space="preserve"> </w:t>
      </w:r>
    </w:p>
    <w:p w14:paraId="02AB3D66" w14:textId="77777777" w:rsidR="00911507" w:rsidRPr="00FD30AA" w:rsidRDefault="00911507" w:rsidP="00A206A3">
      <w:pPr>
        <w:rPr>
          <w:rFonts w:asciiTheme="minorHAnsi" w:hAnsiTheme="minorHAnsi" w:cstheme="minorHAnsi"/>
        </w:rPr>
      </w:pPr>
    </w:p>
    <w:p w14:paraId="22ECD700" w14:textId="352B678D" w:rsidR="00FD30AA" w:rsidRPr="00FD30AA" w:rsidRDefault="00FD30AA" w:rsidP="00A206A3">
      <w:pPr>
        <w:rPr>
          <w:rFonts w:asciiTheme="minorHAnsi" w:hAnsiTheme="minorHAnsi" w:cstheme="minorHAnsi"/>
        </w:rPr>
      </w:pPr>
      <w:r w:rsidRPr="00FD30AA">
        <w:rPr>
          <w:rFonts w:asciiTheme="minorHAnsi" w:hAnsiTheme="minorHAnsi" w:cstheme="minorHAnsi"/>
        </w:rPr>
        <w:t>The following equations were used especially for those localities with either very small or large proportion of health outcome occurrence (</w:t>
      </w:r>
      <w:r w:rsidRPr="00FD30AA">
        <w:rPr>
          <w:rFonts w:asciiTheme="minorHAnsi" w:hAnsiTheme="minorHAnsi" w:cstheme="minorHAnsi"/>
          <w:i/>
        </w:rPr>
        <w:t>p</w:t>
      </w:r>
      <w:r w:rsidRPr="00FD30AA">
        <w:rPr>
          <w:rFonts w:asciiTheme="minorHAnsi" w:hAnsiTheme="minorHAnsi" w:cstheme="minorHAnsi"/>
        </w:rPr>
        <w:t xml:space="preserve">) or relatively low </w:t>
      </w:r>
      <w:r w:rsidR="00AB3632">
        <w:rPr>
          <w:rFonts w:asciiTheme="minorHAnsi" w:hAnsiTheme="minorHAnsi" w:cstheme="minorHAnsi"/>
        </w:rPr>
        <w:t xml:space="preserve">population </w:t>
      </w:r>
      <w:r w:rsidRPr="00FD30AA">
        <w:rPr>
          <w:rFonts w:asciiTheme="minorHAnsi" w:hAnsiTheme="minorHAnsi" w:cstheme="minorHAnsi"/>
        </w:rPr>
        <w:t>size (n &lt; 40)</w:t>
      </w:r>
      <w:r w:rsidR="002469B5" w:rsidRPr="002469B5">
        <w:rPr>
          <w:rFonts w:asciiTheme="minorHAnsi" w:hAnsiTheme="minorHAnsi" w:cstheme="minorHAnsi"/>
          <w:vertAlign w:val="superscript"/>
        </w:rPr>
        <w:t>5</w:t>
      </w:r>
      <w:r w:rsidR="002469B5">
        <w:rPr>
          <w:rFonts w:asciiTheme="minorHAnsi" w:hAnsiTheme="minorHAnsi" w:cstheme="minorHAnsi"/>
          <w:vertAlign w:val="superscript"/>
        </w:rPr>
        <w:t>,</w:t>
      </w:r>
      <w:r w:rsidR="001452D9">
        <w:rPr>
          <w:rStyle w:val="FootnoteReference"/>
          <w:rFonts w:asciiTheme="minorHAnsi" w:hAnsiTheme="minorHAnsi" w:cstheme="minorHAnsi"/>
        </w:rPr>
        <w:footnoteReference w:id="7"/>
      </w:r>
    </w:p>
    <w:p w14:paraId="7300E15B" w14:textId="0892C598" w:rsidR="00FD30AA" w:rsidRPr="00FD30AA" w:rsidRDefault="009917B6" w:rsidP="00A206A3">
      <w:pPr>
        <w:rPr>
          <w:rFonts w:asciiTheme="minorHAnsi" w:hAnsiTheme="minorHAnsi" w:cstheme="minorHAnsi"/>
        </w:rPr>
      </w:pPr>
      <m:oMathPara>
        <m:oMathParaPr>
          <m:jc m:val="center"/>
        </m:oMathPara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LL</m:t>
              </m:r>
            </m:sub>
          </m:sSub>
          <m:r>
            <w:rPr>
              <w:rFonts w:ascii="Cambria Math" w:hAnsi="Cambria Math" w:cstheme="minorHAnsi"/>
            </w:rPr>
            <m:t>=1-BetaInv(1-</m:t>
          </m:r>
          <m:f>
            <m:fPr>
              <m:ctrlPr>
                <w:rPr>
                  <w:rFonts w:ascii="Cambria Math" w:hAnsi="Cambria Math" w:cstheme="minorHAnsi"/>
                  <w:i/>
                </w:rPr>
              </m:ctrlPr>
            </m:fPr>
            <m:num>
              <m:r>
                <w:rPr>
                  <w:rFonts w:ascii="Cambria Math" w:hAnsi="Cambria Math" w:cstheme="minorHAnsi"/>
                </w:rPr>
                <m:t>α</m:t>
              </m:r>
            </m:num>
            <m:den>
              <m:r>
                <w:rPr>
                  <w:rFonts w:ascii="Cambria Math" w:hAnsi="Cambria Math" w:cstheme="minorHAnsi"/>
                </w:rPr>
                <m:t>2</m:t>
              </m:r>
            </m:den>
          </m:f>
          <m:r>
            <w:rPr>
              <w:rFonts w:ascii="Cambria Math" w:hAnsi="Cambria Math" w:cstheme="minorHAnsi"/>
            </w:rPr>
            <m:t>, n-k+1,k)</m:t>
          </m:r>
        </m:oMath>
      </m:oMathPara>
    </w:p>
    <w:p w14:paraId="03D24F68" w14:textId="15016CCD" w:rsidR="00FD30AA" w:rsidRPr="00FD30AA" w:rsidRDefault="00FD30AA" w:rsidP="00A206A3">
      <w:pPr>
        <w:rPr>
          <w:rFonts w:asciiTheme="minorHAnsi" w:hAnsiTheme="minorHAnsi" w:cstheme="minorHAnsi"/>
        </w:rPr>
      </w:pPr>
      <w:r w:rsidRPr="00FD30AA">
        <w:rPr>
          <w:rFonts w:asciiTheme="minorHAnsi" w:hAnsiTheme="minorHAnsi" w:cstheme="minorHAnsi"/>
        </w:rPr>
        <w:t xml:space="preserve">                                                       </w:t>
      </w: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UL</m:t>
            </m:r>
          </m:sub>
        </m:sSub>
        <m:r>
          <w:rPr>
            <w:rFonts w:ascii="Cambria Math" w:hAnsi="Cambria Math" w:cstheme="minorHAnsi"/>
          </w:rPr>
          <m:t>=1-BetaInv(</m:t>
        </m:r>
        <m:f>
          <m:fPr>
            <m:ctrlPr>
              <w:rPr>
                <w:rFonts w:ascii="Cambria Math" w:hAnsi="Cambria Math" w:cstheme="minorHAnsi"/>
                <w:i/>
              </w:rPr>
            </m:ctrlPr>
          </m:fPr>
          <m:num>
            <m:r>
              <w:rPr>
                <w:rFonts w:ascii="Cambria Math" w:hAnsi="Cambria Math" w:cstheme="minorHAnsi"/>
              </w:rPr>
              <m:t>α</m:t>
            </m:r>
          </m:num>
          <m:den>
            <m:r>
              <w:rPr>
                <w:rFonts w:ascii="Cambria Math" w:hAnsi="Cambria Math" w:cstheme="minorHAnsi"/>
              </w:rPr>
              <m:t>2</m:t>
            </m:r>
          </m:den>
        </m:f>
        <m:r>
          <w:rPr>
            <w:rFonts w:ascii="Cambria Math" w:hAnsi="Cambria Math" w:cstheme="minorHAnsi"/>
          </w:rPr>
          <m:t>, n-k,k+1)</m:t>
        </m:r>
      </m:oMath>
    </w:p>
    <w:p w14:paraId="363CF943" w14:textId="13BDC74F" w:rsidR="00FD30AA" w:rsidRDefault="00102881" w:rsidP="00A206A3">
      <w:pPr>
        <w:rPr>
          <w:rFonts w:asciiTheme="minorHAnsi" w:hAnsiTheme="minorHAnsi" w:cstheme="minorHAnsi"/>
        </w:rPr>
      </w:pPr>
      <w:r>
        <w:rPr>
          <w:rFonts w:asciiTheme="minorHAnsi" w:hAnsiTheme="minorHAnsi" w:cstheme="minorHAnsi"/>
        </w:rPr>
        <w:t>w</w:t>
      </w:r>
      <w:r w:rsidR="00FD30AA" w:rsidRPr="00FD30AA">
        <w:rPr>
          <w:rFonts w:asciiTheme="minorHAnsi" w:hAnsiTheme="minorHAnsi" w:cstheme="minorHAnsi"/>
        </w:rPr>
        <w:t>here</w:t>
      </w:r>
    </w:p>
    <w:p w14:paraId="5D5CC686" w14:textId="77777777" w:rsidR="00102881" w:rsidRPr="00FD30AA" w:rsidRDefault="00102881" w:rsidP="00A206A3">
      <w:pPr>
        <w:rPr>
          <w:rFonts w:asciiTheme="minorHAnsi" w:hAnsiTheme="minorHAnsi" w:cstheme="minorHAnsi"/>
        </w:rPr>
      </w:pPr>
    </w:p>
    <w:p w14:paraId="5C3346D2" w14:textId="4DA00E00" w:rsidR="00FD30AA" w:rsidRPr="00FD30AA" w:rsidRDefault="009917B6" w:rsidP="009917B6">
      <w:pPr>
        <w:ind w:left="720"/>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LL</m:t>
            </m:r>
          </m:sub>
        </m:sSub>
      </m:oMath>
      <w:r>
        <w:rPr>
          <w:rFonts w:asciiTheme="minorHAnsi" w:hAnsiTheme="minorHAnsi" w:cstheme="minorHAnsi"/>
        </w:rPr>
        <w:tab/>
        <w:t xml:space="preserve">= </w:t>
      </w:r>
      <w:r w:rsidR="00FD30AA" w:rsidRPr="00FD30AA">
        <w:rPr>
          <w:rFonts w:asciiTheme="minorHAnsi" w:hAnsiTheme="minorHAnsi" w:cstheme="minorHAnsi"/>
        </w:rPr>
        <w:t>lower limit of the confidence interval</w:t>
      </w:r>
    </w:p>
    <w:p w14:paraId="3630CB12" w14:textId="1046007A" w:rsidR="00FD30AA" w:rsidRPr="00FD30AA" w:rsidRDefault="009917B6" w:rsidP="009917B6">
      <w:pPr>
        <w:ind w:left="720"/>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UL</m:t>
            </m:r>
          </m:sub>
        </m:sSub>
      </m:oMath>
      <w:r>
        <w:rPr>
          <w:rFonts w:asciiTheme="minorHAnsi" w:hAnsiTheme="minorHAnsi" w:cstheme="minorHAnsi"/>
        </w:rPr>
        <w:tab/>
      </w:r>
      <w:r w:rsidR="00FD30AA" w:rsidRPr="00FD30AA">
        <w:rPr>
          <w:rFonts w:asciiTheme="minorHAnsi" w:hAnsiTheme="minorHAnsi" w:cstheme="minorHAnsi"/>
        </w:rPr>
        <w:t>= upper limit of the confidence interval</w:t>
      </w:r>
    </w:p>
    <w:p w14:paraId="08EB30C8" w14:textId="36C827F9" w:rsidR="00FD30AA" w:rsidRPr="00FD30AA" w:rsidRDefault="009917B6" w:rsidP="009917B6">
      <w:pPr>
        <w:ind w:left="720"/>
        <w:rPr>
          <w:rFonts w:asciiTheme="minorHAnsi" w:hAnsiTheme="minorHAnsi" w:cstheme="minorHAnsi"/>
        </w:rPr>
      </w:pPr>
      <w:r>
        <w:rPr>
          <w:rFonts w:asciiTheme="minorHAnsi" w:hAnsiTheme="minorHAnsi" w:cstheme="minorHAnsi"/>
          <w:i/>
          <w:iCs/>
        </w:rPr>
        <w:t xml:space="preserve">    </w:t>
      </w:r>
      <w:r w:rsidR="00FD30AA" w:rsidRPr="00FD30AA">
        <w:rPr>
          <w:rFonts w:asciiTheme="minorHAnsi" w:hAnsiTheme="minorHAnsi" w:cstheme="minorHAnsi"/>
          <w:i/>
          <w:iCs/>
        </w:rPr>
        <w:t xml:space="preserve">n </w:t>
      </w:r>
      <w:r>
        <w:rPr>
          <w:rFonts w:asciiTheme="minorHAnsi" w:hAnsiTheme="minorHAnsi" w:cstheme="minorHAnsi"/>
          <w:i/>
          <w:iCs/>
        </w:rPr>
        <w:tab/>
      </w:r>
      <w:r w:rsidR="00FD30AA" w:rsidRPr="00FD30AA">
        <w:rPr>
          <w:rFonts w:asciiTheme="minorHAnsi" w:hAnsiTheme="minorHAnsi" w:cstheme="minorHAnsi"/>
        </w:rPr>
        <w:t xml:space="preserve">= sample size </w:t>
      </w:r>
    </w:p>
    <w:p w14:paraId="41BB27D2" w14:textId="4BFBF6EC" w:rsidR="00FD30AA" w:rsidRPr="00FD30AA" w:rsidRDefault="009917B6" w:rsidP="009917B6">
      <w:pPr>
        <w:ind w:left="720"/>
        <w:rPr>
          <w:rFonts w:asciiTheme="minorHAnsi" w:hAnsiTheme="minorHAnsi" w:cstheme="minorHAnsi"/>
        </w:rPr>
      </w:pPr>
      <w:r>
        <w:rPr>
          <w:rFonts w:asciiTheme="minorHAnsi" w:hAnsiTheme="minorHAnsi" w:cstheme="minorHAnsi"/>
          <w:i/>
          <w:iCs/>
        </w:rPr>
        <w:t xml:space="preserve">    </w:t>
      </w:r>
      <w:r w:rsidR="00FD30AA" w:rsidRPr="00FD30AA">
        <w:rPr>
          <w:rFonts w:asciiTheme="minorHAnsi" w:hAnsiTheme="minorHAnsi" w:cstheme="minorHAnsi"/>
          <w:i/>
          <w:iCs/>
        </w:rPr>
        <w:t>k</w:t>
      </w:r>
      <w:r w:rsidR="00FD30AA" w:rsidRPr="00FD30AA">
        <w:rPr>
          <w:rFonts w:asciiTheme="minorHAnsi" w:hAnsiTheme="minorHAnsi" w:cstheme="minorHAnsi"/>
          <w:iCs/>
        </w:rPr>
        <w:t xml:space="preserve"> </w:t>
      </w:r>
      <w:r>
        <w:rPr>
          <w:rFonts w:asciiTheme="minorHAnsi" w:hAnsiTheme="minorHAnsi" w:cstheme="minorHAnsi"/>
          <w:iCs/>
        </w:rPr>
        <w:tab/>
      </w:r>
      <w:r w:rsidR="00FD30AA" w:rsidRPr="00FD30AA">
        <w:rPr>
          <w:rFonts w:asciiTheme="minorHAnsi" w:hAnsiTheme="minorHAnsi" w:cstheme="minorHAnsi"/>
          <w:iCs/>
        </w:rPr>
        <w:t>= occurrence of health outcome cases</w:t>
      </w:r>
      <w:r>
        <w:rPr>
          <w:rFonts w:asciiTheme="minorHAnsi" w:hAnsiTheme="minorHAnsi" w:cstheme="minorHAnsi"/>
          <w:iCs/>
        </w:rPr>
        <w:t xml:space="preserve"> </w:t>
      </w:r>
    </w:p>
    <w:p w14:paraId="43F381D9" w14:textId="32C45FDB" w:rsidR="00FD30AA" w:rsidRDefault="009917B6" w:rsidP="009917B6">
      <w:pPr>
        <w:ind w:left="720"/>
        <w:rPr>
          <w:rFonts w:asciiTheme="minorHAnsi" w:hAnsiTheme="minorHAnsi" w:cstheme="minorHAnsi"/>
        </w:rPr>
      </w:pPr>
      <w:r>
        <w:rPr>
          <w:rFonts w:asciiTheme="minorHAnsi" w:hAnsiTheme="minorHAnsi" w:cstheme="minorHAnsi"/>
          <w:i/>
          <w:iCs/>
        </w:rPr>
        <w:t xml:space="preserve">   </w:t>
      </w:r>
      <w:r w:rsidR="00FD30AA" w:rsidRPr="00FD30AA">
        <w:rPr>
          <w:rFonts w:asciiTheme="minorHAnsi" w:hAnsiTheme="minorHAnsi" w:cstheme="minorHAnsi"/>
          <w:i/>
          <w:iCs/>
        </w:rPr>
        <w:sym w:font="Symbol" w:char="F061"/>
      </w:r>
      <w:r w:rsidR="00FD30AA" w:rsidRPr="00FD30AA">
        <w:rPr>
          <w:rFonts w:asciiTheme="minorHAnsi" w:hAnsiTheme="minorHAnsi" w:cstheme="minorHAnsi"/>
          <w:i/>
          <w:iCs/>
        </w:rPr>
        <w:t xml:space="preserve"> </w:t>
      </w:r>
      <w:r>
        <w:rPr>
          <w:rFonts w:asciiTheme="minorHAnsi" w:hAnsiTheme="minorHAnsi" w:cstheme="minorHAnsi"/>
          <w:i/>
          <w:iCs/>
        </w:rPr>
        <w:tab/>
      </w:r>
      <w:r w:rsidR="00FD30AA" w:rsidRPr="00FD30AA">
        <w:rPr>
          <w:rFonts w:asciiTheme="minorHAnsi" w:hAnsiTheme="minorHAnsi" w:cstheme="minorHAnsi"/>
        </w:rPr>
        <w:t>= level of significance</w:t>
      </w:r>
    </w:p>
    <w:p w14:paraId="242140C3" w14:textId="77777777" w:rsidR="00A206A3" w:rsidRPr="00FD30AA" w:rsidRDefault="00A206A3" w:rsidP="00A206A3">
      <w:pPr>
        <w:rPr>
          <w:rFonts w:asciiTheme="minorHAnsi" w:hAnsiTheme="minorHAnsi" w:cstheme="minorHAnsi"/>
        </w:rPr>
      </w:pPr>
    </w:p>
    <w:p w14:paraId="175637E6" w14:textId="1CCB4854" w:rsidR="00FD30AA" w:rsidRDefault="00FD30AA" w:rsidP="00A206A3">
      <w:pPr>
        <w:rPr>
          <w:rFonts w:asciiTheme="minorHAnsi" w:hAnsiTheme="minorHAnsi" w:cstheme="minorHAnsi"/>
        </w:rPr>
      </w:pPr>
      <w:r w:rsidRPr="00FD30AA">
        <w:rPr>
          <w:rFonts w:asciiTheme="minorHAnsi" w:hAnsiTheme="minorHAnsi" w:cstheme="minorHAnsi"/>
        </w:rPr>
        <w:t xml:space="preserve">On the other hand, when sample size is sufficient based on the central limit theorem, adopting </w:t>
      </w:r>
      <w:r w:rsidRPr="00FD30AA">
        <w:rPr>
          <w:rFonts w:asciiTheme="minorHAnsi" w:hAnsiTheme="minorHAnsi" w:cstheme="minorHAnsi"/>
          <w:i/>
        </w:rPr>
        <w:t>Z</w:t>
      </w:r>
      <w:r w:rsidRPr="00FD30AA">
        <w:rPr>
          <w:rFonts w:asciiTheme="minorHAnsi" w:hAnsiTheme="minorHAnsi" w:cstheme="minorHAnsi"/>
        </w:rPr>
        <w:t xml:space="preserve">-value from the normal distribution is an appropriate approach for estimating the binomial distribution. However, as previously mentioned confidence interval may contain values below zero or above one when </w:t>
      </w:r>
      <w:r w:rsidRPr="00FD30AA">
        <w:rPr>
          <w:rFonts w:asciiTheme="minorHAnsi" w:hAnsiTheme="minorHAnsi" w:cstheme="minorHAnsi"/>
          <w:i/>
        </w:rPr>
        <w:t xml:space="preserve">p </w:t>
      </w:r>
      <w:r w:rsidRPr="00FD30AA">
        <w:rPr>
          <w:rFonts w:asciiTheme="minorHAnsi" w:hAnsiTheme="minorHAnsi" w:cstheme="minorHAnsi"/>
        </w:rPr>
        <w:t>is extremely close to 0 or 1, respectively. To avoid this situation, numerous statisticians have recommended adopting the adjusted Wald confidence interval.</w:t>
      </w:r>
      <w:r w:rsidR="002469B5">
        <w:rPr>
          <w:rFonts w:asciiTheme="minorHAnsi" w:hAnsiTheme="minorHAnsi" w:cstheme="minorHAnsi"/>
          <w:vertAlign w:val="superscript"/>
        </w:rPr>
        <w:t>4</w:t>
      </w:r>
      <w:r w:rsidRPr="00FD30AA">
        <w:rPr>
          <w:rFonts w:asciiTheme="minorHAnsi" w:hAnsiTheme="minorHAnsi" w:cstheme="minorHAnsi"/>
        </w:rPr>
        <w:t xml:space="preserve"> So, the following equation was applied for sample size greater than 40:</w:t>
      </w:r>
    </w:p>
    <w:p w14:paraId="5F4C135A" w14:textId="77777777" w:rsidR="00A206A3" w:rsidRPr="00FD30AA" w:rsidRDefault="00A206A3" w:rsidP="00A206A3">
      <w:pPr>
        <w:rPr>
          <w:rFonts w:asciiTheme="minorHAnsi" w:hAnsiTheme="minorHAnsi" w:cstheme="minorHAnsi"/>
        </w:rPr>
      </w:pPr>
    </w:p>
    <w:p w14:paraId="61AB3204" w14:textId="143C58FB" w:rsidR="00FD30AA" w:rsidRPr="00FD30AA" w:rsidRDefault="009917B6" w:rsidP="00A206A3">
      <w:pPr>
        <w:rPr>
          <w:rFonts w:asciiTheme="minorHAnsi" w:hAnsiTheme="minorHAnsi" w:cstheme="minorHAnsi"/>
        </w:rPr>
      </w:pPr>
      <m:oMathPara>
        <m:oMath>
          <m:sSup>
            <m:sSupPr>
              <m:ctrlPr>
                <w:rPr>
                  <w:rFonts w:ascii="Cambria Math" w:hAnsi="Cambria Math" w:cstheme="minorHAnsi"/>
                  <w:i/>
                </w:rPr>
              </m:ctrlPr>
            </m:sSupPr>
            <m:e>
              <m:r>
                <w:rPr>
                  <w:rFonts w:ascii="Cambria Math" w:hAnsi="Cambria Math" w:cstheme="minorHAnsi"/>
                </w:rPr>
                <m:t>p</m:t>
              </m:r>
            </m:e>
            <m:sup>
              <m:r>
                <w:rPr>
                  <w:rFonts w:ascii="Cambria Math" w:hAnsi="Cambria Math" w:cstheme="minorHAnsi"/>
                </w:rPr>
                <m:t>'</m:t>
              </m:r>
            </m:sup>
          </m:sSup>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1-</m:t>
              </m:r>
              <m:box>
                <m:boxPr>
                  <m:ctrlPr>
                    <w:rPr>
                      <w:rFonts w:ascii="Cambria Math" w:hAnsi="Cambria Math" w:cstheme="minorHAnsi"/>
                      <w:i/>
                    </w:rPr>
                  </m:ctrlPr>
                </m:boxPr>
                <m:e>
                  <m:argPr>
                    <m:argSz m:val="-1"/>
                  </m:argPr>
                  <m:f>
                    <m:fPr>
                      <m:ctrlPr>
                        <w:rPr>
                          <w:rFonts w:ascii="Cambria Math" w:hAnsi="Cambria Math" w:cstheme="minorHAnsi"/>
                          <w:i/>
                        </w:rPr>
                      </m:ctrlPr>
                    </m:fPr>
                    <m:num>
                      <m:r>
                        <w:rPr>
                          <w:rFonts w:ascii="Cambria Math" w:hAnsi="Cambria Math" w:cstheme="minorHAnsi"/>
                        </w:rPr>
                        <m:t>α</m:t>
                      </m:r>
                    </m:num>
                    <m:den>
                      <m:r>
                        <w:rPr>
                          <w:rFonts w:ascii="Cambria Math" w:hAnsi="Cambria Math" w:cstheme="minorHAnsi"/>
                        </w:rPr>
                        <m:t>2</m:t>
                      </m:r>
                    </m:den>
                  </m:f>
                </m:e>
              </m:box>
            </m:sub>
          </m:sSub>
          <m:r>
            <w:rPr>
              <w:rFonts w:ascii="Cambria Math" w:hAnsi="Cambria Math" w:cstheme="minorHAnsi"/>
            </w:rPr>
            <m:t xml:space="preserve"> </m:t>
          </m:r>
          <m:d>
            <m:dPr>
              <m:ctrlPr>
                <w:rPr>
                  <w:rFonts w:ascii="Cambria Math" w:hAnsi="Cambria Math" w:cstheme="minorHAnsi"/>
                  <w:i/>
                </w:rPr>
              </m:ctrlPr>
            </m:dPr>
            <m:e>
              <m:rad>
                <m:radPr>
                  <m:degHide m:val="1"/>
                  <m:ctrlPr>
                    <w:rPr>
                      <w:rFonts w:ascii="Cambria Math" w:hAnsi="Cambria Math" w:cstheme="minorHAnsi"/>
                      <w:i/>
                    </w:rPr>
                  </m:ctrlPr>
                </m:radPr>
                <m:deg/>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p</m:t>
                          </m:r>
                        </m:e>
                        <m:sup>
                          <m:r>
                            <w:rPr>
                              <w:rFonts w:ascii="Cambria Math" w:hAnsi="Cambria Math" w:cstheme="minorHAnsi"/>
                            </w:rPr>
                            <m:t>'</m:t>
                          </m:r>
                        </m:sup>
                      </m:sSup>
                      <m:r>
                        <w:rPr>
                          <w:rFonts w:ascii="Cambria Math" w:hAnsi="Cambria Math" w:cstheme="minorHAnsi"/>
                        </w:rPr>
                        <m:t>(1-</m:t>
                      </m:r>
                      <m:sSup>
                        <m:sSupPr>
                          <m:ctrlPr>
                            <w:rPr>
                              <w:rFonts w:ascii="Cambria Math" w:hAnsi="Cambria Math" w:cstheme="minorHAnsi"/>
                              <w:i/>
                            </w:rPr>
                          </m:ctrlPr>
                        </m:sSupPr>
                        <m:e>
                          <m:r>
                            <w:rPr>
                              <w:rFonts w:ascii="Cambria Math" w:hAnsi="Cambria Math" w:cstheme="minorHAnsi"/>
                            </w:rPr>
                            <m:t>p</m:t>
                          </m:r>
                        </m:e>
                        <m:sup>
                          <m:r>
                            <w:rPr>
                              <w:rFonts w:ascii="Cambria Math" w:hAnsi="Cambria Math" w:cstheme="minorHAnsi"/>
                            </w:rPr>
                            <m:t>'</m:t>
                          </m:r>
                        </m:sup>
                      </m:sSup>
                      <m:r>
                        <w:rPr>
                          <w:rFonts w:ascii="Cambria Math" w:hAnsi="Cambria Math" w:cstheme="minorHAnsi"/>
                        </w:rPr>
                        <m:t>)</m:t>
                      </m:r>
                    </m:num>
                    <m:den>
                      <m:r>
                        <w:rPr>
                          <w:rFonts w:ascii="Cambria Math" w:hAnsi="Cambria Math" w:cstheme="minorHAnsi"/>
                        </w:rPr>
                        <m:t>n</m:t>
                      </m:r>
                    </m:den>
                  </m:f>
                </m:e>
              </m:rad>
            </m:e>
          </m:d>
        </m:oMath>
      </m:oMathPara>
    </w:p>
    <w:p w14:paraId="20F275C9" w14:textId="77777777" w:rsidR="00DD0551" w:rsidRDefault="00DD0551" w:rsidP="00A206A3">
      <w:pPr>
        <w:rPr>
          <w:rFonts w:asciiTheme="minorHAnsi" w:hAnsiTheme="minorHAnsi" w:cstheme="minorHAnsi"/>
        </w:rPr>
      </w:pPr>
    </w:p>
    <w:p w14:paraId="01845F30" w14:textId="77777777" w:rsidR="00DD0551" w:rsidRDefault="00DD0551" w:rsidP="00A206A3">
      <w:pPr>
        <w:rPr>
          <w:rFonts w:asciiTheme="minorHAnsi" w:hAnsiTheme="minorHAnsi" w:cstheme="minorHAnsi"/>
        </w:rPr>
      </w:pPr>
    </w:p>
    <w:p w14:paraId="7FAABDE2" w14:textId="109D66FB" w:rsidR="00FD30AA" w:rsidRDefault="00FD30AA" w:rsidP="00A206A3">
      <w:pPr>
        <w:rPr>
          <w:rFonts w:asciiTheme="minorHAnsi" w:hAnsiTheme="minorHAnsi" w:cstheme="minorHAnsi"/>
        </w:rPr>
      </w:pPr>
      <w:r w:rsidRPr="00FD30AA">
        <w:rPr>
          <w:rFonts w:asciiTheme="minorHAnsi" w:hAnsiTheme="minorHAnsi" w:cstheme="minorHAnsi"/>
        </w:rPr>
        <w:t xml:space="preserve">where  </w:t>
      </w:r>
    </w:p>
    <w:p w14:paraId="07D66FD2" w14:textId="77777777" w:rsidR="00A206A3" w:rsidRPr="00FD30AA" w:rsidRDefault="00A206A3" w:rsidP="00A206A3">
      <w:pPr>
        <w:rPr>
          <w:rFonts w:asciiTheme="minorHAnsi" w:hAnsiTheme="minorHAnsi" w:cstheme="minorHAnsi"/>
        </w:rPr>
      </w:pPr>
    </w:p>
    <w:p w14:paraId="54437FA9" w14:textId="2F9A64A9" w:rsidR="00FD30AA" w:rsidRPr="00FD30AA" w:rsidRDefault="009917B6" w:rsidP="009917B6">
      <w:pPr>
        <w:tabs>
          <w:tab w:val="left" w:pos="1260"/>
        </w:tabs>
        <w:ind w:firstLine="720"/>
        <w:rPr>
          <w:rFonts w:asciiTheme="minorHAnsi" w:hAnsiTheme="minorHAnsi" w:cstheme="minorHAnsi"/>
        </w:rPr>
      </w:pPr>
      <w:r>
        <w:rPr>
          <w:rFonts w:asciiTheme="minorHAnsi" w:hAnsiTheme="minorHAnsi" w:cstheme="minorHAnsi"/>
          <w:iCs/>
        </w:rPr>
        <w:t xml:space="preserve">     </w:t>
      </w:r>
      <m:oMath>
        <m:sSup>
          <m:sSupPr>
            <m:ctrlPr>
              <w:rPr>
                <w:rFonts w:ascii="Cambria Math" w:hAnsi="Cambria Math" w:cstheme="minorHAnsi"/>
                <w:i/>
                <w:iCs/>
              </w:rPr>
            </m:ctrlPr>
          </m:sSupPr>
          <m:e>
            <m:r>
              <w:rPr>
                <w:rFonts w:ascii="Cambria Math" w:hAnsi="Cambria Math" w:cstheme="minorHAnsi"/>
              </w:rPr>
              <m:t>p</m:t>
            </m:r>
          </m:e>
          <m:sup>
            <m:r>
              <w:rPr>
                <w:rFonts w:ascii="Cambria Math" w:hAnsi="Cambria Math" w:cstheme="minorHAnsi"/>
              </w:rPr>
              <m:t>'</m:t>
            </m:r>
          </m:sup>
        </m:sSup>
      </m:oMath>
      <w:r w:rsidR="00FD30AA" w:rsidRPr="00FD30AA">
        <w:rPr>
          <w:rFonts w:asciiTheme="minorHAnsi" w:hAnsiTheme="minorHAnsi" w:cstheme="minorHAnsi"/>
          <w:i/>
          <w:iCs/>
        </w:rPr>
        <w:t xml:space="preserve"> </w:t>
      </w:r>
      <w:r>
        <w:rPr>
          <w:rFonts w:asciiTheme="minorHAnsi" w:hAnsiTheme="minorHAnsi" w:cstheme="minorHAnsi"/>
          <w:i/>
          <w:iCs/>
        </w:rPr>
        <w:tab/>
      </w:r>
      <w:r w:rsidR="00FD30AA" w:rsidRPr="00FD30AA">
        <w:rPr>
          <w:rFonts w:asciiTheme="minorHAnsi" w:hAnsiTheme="minorHAnsi" w:cstheme="minorHAnsi"/>
        </w:rPr>
        <w:t xml:space="preserve">= </w:t>
      </w:r>
      <m:oMath>
        <m:f>
          <m:fPr>
            <m:ctrlPr>
              <w:rPr>
                <w:rFonts w:ascii="Cambria Math" w:hAnsi="Cambria Math" w:cstheme="minorHAnsi"/>
                <w:i/>
              </w:rPr>
            </m:ctrlPr>
          </m:fPr>
          <m:num>
            <m:r>
              <w:rPr>
                <w:rFonts w:ascii="Cambria Math" w:hAnsi="Cambria Math" w:cstheme="minorHAnsi"/>
              </w:rPr>
              <m:t xml:space="preserve">occurence of health outcome cases+2 </m:t>
            </m:r>
          </m:num>
          <m:den>
            <m:r>
              <w:rPr>
                <w:rFonts w:ascii="Cambria Math" w:hAnsi="Cambria Math" w:cstheme="minorHAnsi"/>
              </w:rPr>
              <m:t>number of total poulation+4</m:t>
            </m:r>
          </m:den>
        </m:f>
      </m:oMath>
    </w:p>
    <w:p w14:paraId="3C855A46" w14:textId="0D54EB2E" w:rsidR="00FD30AA" w:rsidRPr="00FD30AA" w:rsidRDefault="009917B6" w:rsidP="009917B6">
      <w:pPr>
        <w:tabs>
          <w:tab w:val="left" w:pos="1260"/>
        </w:tabs>
        <w:ind w:firstLine="720"/>
        <w:rPr>
          <w:rFonts w:asciiTheme="minorHAnsi" w:hAnsiTheme="minorHAnsi" w:cstheme="minorHAnsi"/>
        </w:rPr>
      </w:pPr>
      <w:r>
        <w:rPr>
          <w:rFonts w:asciiTheme="minorHAnsi" w:hAnsiTheme="minorHAnsi" w:cstheme="minorHAnsi"/>
          <w:i/>
          <w:iCs/>
        </w:rPr>
        <w:t xml:space="preserve">     </w:t>
      </w:r>
      <w:r w:rsidR="00FD30AA" w:rsidRPr="00FD30AA">
        <w:rPr>
          <w:rFonts w:asciiTheme="minorHAnsi" w:hAnsiTheme="minorHAnsi" w:cstheme="minorHAnsi"/>
          <w:i/>
          <w:iCs/>
        </w:rPr>
        <w:t>n</w:t>
      </w:r>
      <w:r>
        <w:rPr>
          <w:rFonts w:asciiTheme="minorHAnsi" w:hAnsiTheme="minorHAnsi" w:cstheme="minorHAnsi"/>
          <w:i/>
          <w:iCs/>
        </w:rPr>
        <w:tab/>
      </w:r>
      <w:r w:rsidR="00FD30AA" w:rsidRPr="00FD30AA">
        <w:rPr>
          <w:rFonts w:asciiTheme="minorHAnsi" w:hAnsiTheme="minorHAnsi" w:cstheme="minorHAnsi"/>
        </w:rPr>
        <w:t xml:space="preserve">= sample size </w:t>
      </w:r>
    </w:p>
    <w:p w14:paraId="62E50E23" w14:textId="662EAFAB" w:rsidR="00FD30AA" w:rsidRPr="00FD30AA" w:rsidRDefault="009917B6" w:rsidP="009917B6">
      <w:pPr>
        <w:tabs>
          <w:tab w:val="left" w:pos="1260"/>
        </w:tabs>
        <w:ind w:firstLine="720"/>
        <w:rPr>
          <w:rFonts w:asciiTheme="minorHAnsi" w:hAnsiTheme="minorHAnsi" w:cstheme="minorHAnsi"/>
        </w:rPr>
      </w:pPr>
      <w:r>
        <w:rPr>
          <w:rFonts w:asciiTheme="minorHAnsi" w:hAnsiTheme="minorHAnsi" w:cstheme="minorHAnsi"/>
          <w:i/>
          <w:iCs/>
        </w:rPr>
        <w:t xml:space="preserve">    </w:t>
      </w:r>
      <w:r w:rsidR="00FD30AA" w:rsidRPr="00FD30AA">
        <w:rPr>
          <w:rFonts w:asciiTheme="minorHAnsi" w:hAnsiTheme="minorHAnsi" w:cstheme="minorHAnsi"/>
          <w:i/>
          <w:iCs/>
        </w:rPr>
        <w:sym w:font="Symbol" w:char="F061"/>
      </w:r>
      <w:r w:rsidR="00FD30AA" w:rsidRPr="00FD30AA">
        <w:rPr>
          <w:rFonts w:asciiTheme="minorHAnsi" w:hAnsiTheme="minorHAnsi" w:cstheme="minorHAnsi"/>
          <w:i/>
          <w:iCs/>
        </w:rPr>
        <w:t xml:space="preserve"> </w:t>
      </w:r>
      <w:r>
        <w:rPr>
          <w:rFonts w:asciiTheme="minorHAnsi" w:hAnsiTheme="minorHAnsi" w:cstheme="minorHAnsi"/>
          <w:i/>
          <w:iCs/>
        </w:rPr>
        <w:tab/>
      </w:r>
      <w:r w:rsidR="00FD30AA" w:rsidRPr="00FD30AA">
        <w:rPr>
          <w:rFonts w:asciiTheme="minorHAnsi" w:hAnsiTheme="minorHAnsi" w:cstheme="minorHAnsi"/>
        </w:rPr>
        <w:t>= level of significance</w:t>
      </w:r>
    </w:p>
    <w:p w14:paraId="085C4556" w14:textId="0A2014C9" w:rsidR="00FD30AA" w:rsidRPr="00FD30AA" w:rsidRDefault="009917B6" w:rsidP="009917B6">
      <w:pPr>
        <w:tabs>
          <w:tab w:val="left" w:pos="1260"/>
        </w:tabs>
        <w:ind w:firstLine="720"/>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1-</m:t>
            </m:r>
            <m:box>
              <m:boxPr>
                <m:ctrlPr>
                  <w:rPr>
                    <w:rFonts w:ascii="Cambria Math" w:hAnsi="Cambria Math" w:cstheme="minorHAnsi"/>
                    <w:i/>
                  </w:rPr>
                </m:ctrlPr>
              </m:boxPr>
              <m:e>
                <m:argPr>
                  <m:argSz m:val="-1"/>
                </m:argPr>
                <m:f>
                  <m:fPr>
                    <m:ctrlPr>
                      <w:rPr>
                        <w:rFonts w:ascii="Cambria Math" w:hAnsi="Cambria Math" w:cstheme="minorHAnsi"/>
                        <w:i/>
                      </w:rPr>
                    </m:ctrlPr>
                  </m:fPr>
                  <m:num>
                    <m:r>
                      <w:rPr>
                        <w:rFonts w:ascii="Cambria Math" w:hAnsi="Cambria Math" w:cstheme="minorHAnsi"/>
                      </w:rPr>
                      <m:t>α</m:t>
                    </m:r>
                  </m:num>
                  <m:den>
                    <m:r>
                      <w:rPr>
                        <w:rFonts w:ascii="Cambria Math" w:hAnsi="Cambria Math" w:cstheme="minorHAnsi"/>
                      </w:rPr>
                      <m:t>2</m:t>
                    </m:r>
                  </m:den>
                </m:f>
              </m:e>
            </m:box>
          </m:sub>
        </m:sSub>
      </m:oMath>
      <w:r>
        <w:rPr>
          <w:rFonts w:asciiTheme="minorHAnsi" w:hAnsiTheme="minorHAnsi" w:cstheme="minorHAnsi"/>
        </w:rPr>
        <w:tab/>
      </w:r>
      <w:r w:rsidR="00FD30AA" w:rsidRPr="00FD30AA">
        <w:rPr>
          <w:rFonts w:asciiTheme="minorHAnsi" w:hAnsiTheme="minorHAnsi" w:cstheme="minorHAnsi"/>
        </w:rPr>
        <w:t xml:space="preserve">= </w:t>
      </w:r>
      <w:r w:rsidR="00FD30AA" w:rsidRPr="00FD30AA">
        <w:rPr>
          <w:rFonts w:asciiTheme="minorHAnsi" w:hAnsiTheme="minorHAnsi" w:cstheme="minorHAnsi"/>
          <w:i/>
          <w:iCs/>
        </w:rPr>
        <w:t>Z</w:t>
      </w:r>
      <w:r w:rsidR="00FD30AA" w:rsidRPr="00FD30AA">
        <w:rPr>
          <w:rFonts w:asciiTheme="minorHAnsi" w:hAnsiTheme="minorHAnsi" w:cstheme="minorHAnsi"/>
        </w:rPr>
        <w:t xml:space="preserve"> score for the level of significance     </w:t>
      </w:r>
    </w:p>
    <w:p w14:paraId="6575C557" w14:textId="27AF521D" w:rsidR="00394536" w:rsidRDefault="00394536" w:rsidP="009917B6">
      <w:pPr>
        <w:tabs>
          <w:tab w:val="left" w:pos="1170"/>
        </w:tabs>
        <w:ind w:left="720"/>
        <w:rPr>
          <w:rFonts w:asciiTheme="minorHAnsi" w:hAnsiTheme="minorHAnsi" w:cstheme="minorHAnsi"/>
          <w:b/>
          <w:bCs/>
        </w:rPr>
      </w:pPr>
    </w:p>
    <w:p w14:paraId="6B66967B" w14:textId="37A3F585" w:rsidR="00FC2ADD" w:rsidRDefault="0073052C" w:rsidP="00A206A3">
      <w:pPr>
        <w:pStyle w:val="CommentText"/>
        <w:rPr>
          <w:rFonts w:asciiTheme="minorHAnsi" w:hAnsiTheme="minorHAnsi" w:cstheme="minorHAnsi"/>
          <w:sz w:val="24"/>
          <w:szCs w:val="24"/>
        </w:rPr>
      </w:pPr>
      <w:r>
        <w:rPr>
          <w:rFonts w:asciiTheme="minorHAnsi" w:hAnsiTheme="minorHAnsi" w:cstheme="minorHAnsi"/>
          <w:sz w:val="24"/>
          <w:szCs w:val="24"/>
        </w:rPr>
        <w:t>The margin of error for population estimates at the ZCTA level for small age groups (e.g., children) can be large and result in rates with extremely wide confidence intervals, particularly for sparsely populated ZCTAs. Thus</w:t>
      </w:r>
      <w:r w:rsidR="00A206A3">
        <w:rPr>
          <w:rFonts w:asciiTheme="minorHAnsi" w:hAnsiTheme="minorHAnsi" w:cstheme="minorHAnsi"/>
          <w:sz w:val="24"/>
          <w:szCs w:val="24"/>
        </w:rPr>
        <w:t xml:space="preserve">, rates </w:t>
      </w:r>
      <w:r w:rsidR="00AB3632">
        <w:rPr>
          <w:rFonts w:asciiTheme="minorHAnsi" w:hAnsiTheme="minorHAnsi" w:cstheme="minorHAnsi"/>
          <w:sz w:val="24"/>
          <w:szCs w:val="24"/>
        </w:rPr>
        <w:t xml:space="preserve">were not computed </w:t>
      </w:r>
      <w:r w:rsidR="00A206A3">
        <w:rPr>
          <w:rFonts w:asciiTheme="minorHAnsi" w:hAnsiTheme="minorHAnsi" w:cstheme="minorHAnsi"/>
          <w:sz w:val="24"/>
          <w:szCs w:val="24"/>
        </w:rPr>
        <w:t>for any ZCTA where the population count was missing or &lt;50</w:t>
      </w:r>
      <w:r w:rsidR="00FC2ADD">
        <w:rPr>
          <w:rFonts w:asciiTheme="minorHAnsi" w:hAnsiTheme="minorHAnsi" w:cstheme="minorHAnsi"/>
          <w:sz w:val="24"/>
          <w:szCs w:val="24"/>
        </w:rPr>
        <w:t xml:space="preserve"> or the APCD counts exceeded the population total</w:t>
      </w:r>
      <w:r>
        <w:rPr>
          <w:rFonts w:asciiTheme="minorHAnsi" w:hAnsiTheme="minorHAnsi" w:cstheme="minorHAnsi"/>
          <w:sz w:val="24"/>
          <w:szCs w:val="24"/>
        </w:rPr>
        <w:t xml:space="preserve"> for a given behavioral health outcome</w:t>
      </w:r>
      <w:r w:rsidR="00A206A3">
        <w:rPr>
          <w:rFonts w:asciiTheme="minorHAnsi" w:hAnsiTheme="minorHAnsi" w:cstheme="minorHAnsi"/>
          <w:sz w:val="24"/>
          <w:szCs w:val="24"/>
        </w:rPr>
        <w:t xml:space="preserve">. </w:t>
      </w:r>
      <w:r w:rsidR="00FC2ADD">
        <w:rPr>
          <w:rFonts w:asciiTheme="minorHAnsi" w:hAnsiTheme="minorHAnsi" w:cstheme="minorHAnsi"/>
          <w:sz w:val="24"/>
          <w:szCs w:val="24"/>
        </w:rPr>
        <w:t>The number of suppressed rates varied by outcome based on the population denominator used:</w:t>
      </w:r>
    </w:p>
    <w:p w14:paraId="2352675C" w14:textId="77777777" w:rsidR="00AB3632" w:rsidRDefault="00AB3632" w:rsidP="00A206A3">
      <w:pPr>
        <w:pStyle w:val="CommentText"/>
        <w:rPr>
          <w:rFonts w:asciiTheme="minorHAnsi" w:hAnsiTheme="minorHAnsi" w:cstheme="minorHAnsi"/>
          <w:sz w:val="24"/>
          <w:szCs w:val="24"/>
        </w:rPr>
      </w:pPr>
    </w:p>
    <w:p w14:paraId="2AD86548" w14:textId="232670DD" w:rsidR="00A206A3" w:rsidRDefault="00FC2ADD" w:rsidP="00FC2ADD">
      <w:pPr>
        <w:pStyle w:val="CommentText"/>
        <w:numPr>
          <w:ilvl w:val="0"/>
          <w:numId w:val="10"/>
        </w:numPr>
        <w:rPr>
          <w:rFonts w:asciiTheme="minorHAnsi" w:hAnsiTheme="minorHAnsi" w:cstheme="minorHAnsi"/>
          <w:sz w:val="24"/>
          <w:szCs w:val="24"/>
        </w:rPr>
      </w:pPr>
      <w:r>
        <w:rPr>
          <w:rFonts w:asciiTheme="minorHAnsi" w:hAnsiTheme="minorHAnsi" w:cstheme="minorHAnsi"/>
          <w:sz w:val="24"/>
          <w:szCs w:val="24"/>
        </w:rPr>
        <w:t>SED: 161 (18.2%) of all ZCTAs</w:t>
      </w:r>
      <w:r w:rsidR="00A206A3">
        <w:rPr>
          <w:rFonts w:asciiTheme="minorHAnsi" w:hAnsiTheme="minorHAnsi" w:cstheme="minorHAnsi"/>
          <w:sz w:val="24"/>
          <w:szCs w:val="24"/>
        </w:rPr>
        <w:t xml:space="preserve"> </w:t>
      </w:r>
    </w:p>
    <w:p w14:paraId="7B0859E0" w14:textId="6DDBA93D" w:rsidR="00FC2ADD" w:rsidRDefault="00FC2ADD" w:rsidP="00FC2ADD">
      <w:pPr>
        <w:pStyle w:val="CommentText"/>
        <w:numPr>
          <w:ilvl w:val="0"/>
          <w:numId w:val="10"/>
        </w:numPr>
        <w:rPr>
          <w:rFonts w:asciiTheme="minorHAnsi" w:hAnsiTheme="minorHAnsi" w:cstheme="minorHAnsi"/>
          <w:sz w:val="24"/>
          <w:szCs w:val="24"/>
        </w:rPr>
      </w:pPr>
      <w:r>
        <w:rPr>
          <w:rFonts w:asciiTheme="minorHAnsi" w:hAnsiTheme="minorHAnsi" w:cstheme="minorHAnsi"/>
          <w:sz w:val="24"/>
          <w:szCs w:val="24"/>
        </w:rPr>
        <w:t xml:space="preserve">SMI: 46 (5.2%) of all ZCTAs </w:t>
      </w:r>
    </w:p>
    <w:p w14:paraId="45E160AB" w14:textId="42DCCDB2" w:rsidR="00FC2ADD" w:rsidRDefault="00FC2ADD" w:rsidP="00FC2ADD">
      <w:pPr>
        <w:pStyle w:val="CommentText"/>
        <w:numPr>
          <w:ilvl w:val="0"/>
          <w:numId w:val="10"/>
        </w:numPr>
        <w:rPr>
          <w:rFonts w:asciiTheme="minorHAnsi" w:hAnsiTheme="minorHAnsi" w:cstheme="minorHAnsi"/>
          <w:sz w:val="24"/>
          <w:szCs w:val="24"/>
        </w:rPr>
      </w:pPr>
      <w:r>
        <w:rPr>
          <w:rFonts w:asciiTheme="minorHAnsi" w:hAnsiTheme="minorHAnsi" w:cstheme="minorHAnsi"/>
          <w:sz w:val="24"/>
          <w:szCs w:val="24"/>
        </w:rPr>
        <w:t>SUD: 17 (1.9%) of all ZCTAs</w:t>
      </w:r>
    </w:p>
    <w:p w14:paraId="1099D923" w14:textId="09938964" w:rsidR="00FC2ADD" w:rsidRDefault="00FC2ADD" w:rsidP="00FC2ADD">
      <w:pPr>
        <w:pStyle w:val="CommentText"/>
        <w:numPr>
          <w:ilvl w:val="0"/>
          <w:numId w:val="10"/>
        </w:numPr>
        <w:rPr>
          <w:rFonts w:asciiTheme="minorHAnsi" w:hAnsiTheme="minorHAnsi" w:cstheme="minorHAnsi"/>
          <w:sz w:val="24"/>
          <w:szCs w:val="24"/>
        </w:rPr>
      </w:pPr>
      <w:r>
        <w:rPr>
          <w:rFonts w:asciiTheme="minorHAnsi" w:hAnsiTheme="minorHAnsi" w:cstheme="minorHAnsi"/>
          <w:sz w:val="24"/>
          <w:szCs w:val="24"/>
        </w:rPr>
        <w:t>MULTI: 17 (1.9%) of all ZCTAs</w:t>
      </w:r>
    </w:p>
    <w:p w14:paraId="6BA42023" w14:textId="77777777" w:rsidR="00FD30AA" w:rsidRDefault="00FD30AA" w:rsidP="00A206A3">
      <w:pPr>
        <w:rPr>
          <w:rFonts w:asciiTheme="minorHAnsi" w:hAnsiTheme="minorHAnsi" w:cstheme="minorHAnsi"/>
          <w:b/>
          <w:bCs/>
        </w:rPr>
      </w:pPr>
    </w:p>
    <w:p w14:paraId="012D852D" w14:textId="54924670" w:rsidR="00394536" w:rsidRPr="00394536" w:rsidRDefault="00394536" w:rsidP="00A206A3">
      <w:pPr>
        <w:rPr>
          <w:rFonts w:asciiTheme="minorHAnsi" w:hAnsiTheme="minorHAnsi" w:cstheme="minorHAnsi"/>
          <w:b/>
          <w:bCs/>
          <w:i/>
          <w:iCs/>
        </w:rPr>
      </w:pPr>
      <w:r w:rsidRPr="00394536">
        <w:rPr>
          <w:rFonts w:asciiTheme="minorHAnsi" w:hAnsiTheme="minorHAnsi" w:cstheme="minorHAnsi"/>
          <w:b/>
          <w:bCs/>
          <w:i/>
          <w:iCs/>
        </w:rPr>
        <w:t>C</w:t>
      </w:r>
      <w:r w:rsidR="000A52C1">
        <w:rPr>
          <w:rFonts w:asciiTheme="minorHAnsi" w:hAnsiTheme="minorHAnsi" w:cstheme="minorHAnsi"/>
          <w:b/>
          <w:bCs/>
          <w:i/>
          <w:iCs/>
        </w:rPr>
        <w:t>ommunity Service Board (CS</w:t>
      </w:r>
      <w:r w:rsidRPr="00394536">
        <w:rPr>
          <w:rFonts w:asciiTheme="minorHAnsi" w:hAnsiTheme="minorHAnsi" w:cstheme="minorHAnsi"/>
          <w:b/>
          <w:bCs/>
          <w:i/>
          <w:iCs/>
        </w:rPr>
        <w:t>B</w:t>
      </w:r>
      <w:r w:rsidR="000A52C1">
        <w:rPr>
          <w:rFonts w:asciiTheme="minorHAnsi" w:hAnsiTheme="minorHAnsi" w:cstheme="minorHAnsi"/>
          <w:b/>
          <w:bCs/>
          <w:i/>
          <w:iCs/>
        </w:rPr>
        <w:t>)</w:t>
      </w:r>
      <w:r w:rsidRPr="00394536">
        <w:rPr>
          <w:rFonts w:asciiTheme="minorHAnsi" w:hAnsiTheme="minorHAnsi" w:cstheme="minorHAnsi"/>
          <w:b/>
          <w:bCs/>
          <w:i/>
          <w:iCs/>
        </w:rPr>
        <w:t xml:space="preserve"> </w:t>
      </w:r>
      <w:r w:rsidR="000A52C1">
        <w:rPr>
          <w:rFonts w:asciiTheme="minorHAnsi" w:hAnsiTheme="minorHAnsi" w:cstheme="minorHAnsi"/>
          <w:b/>
          <w:bCs/>
          <w:i/>
          <w:iCs/>
        </w:rPr>
        <w:t>Prevalence R</w:t>
      </w:r>
      <w:r w:rsidR="0062690D">
        <w:rPr>
          <w:rFonts w:asciiTheme="minorHAnsi" w:hAnsiTheme="minorHAnsi" w:cstheme="minorHAnsi"/>
          <w:b/>
          <w:bCs/>
          <w:i/>
          <w:iCs/>
        </w:rPr>
        <w:t>ates</w:t>
      </w:r>
    </w:p>
    <w:p w14:paraId="5EDB5559" w14:textId="14C5FE62" w:rsidR="00644D04" w:rsidRDefault="0062690D" w:rsidP="0062690D">
      <w:pPr>
        <w:rPr>
          <w:rFonts w:asciiTheme="minorHAnsi" w:hAnsiTheme="minorHAnsi" w:cstheme="minorHAnsi"/>
        </w:rPr>
      </w:pPr>
      <w:r>
        <w:rPr>
          <w:rFonts w:asciiTheme="minorHAnsi" w:hAnsiTheme="minorHAnsi" w:cstheme="minorHAnsi"/>
        </w:rPr>
        <w:t>To compute CSB-level rates</w:t>
      </w:r>
      <w:r w:rsidR="0022484B">
        <w:rPr>
          <w:rFonts w:asciiTheme="minorHAnsi" w:hAnsiTheme="minorHAnsi" w:cstheme="minorHAnsi"/>
        </w:rPr>
        <w:t>,</w:t>
      </w:r>
      <w:r>
        <w:rPr>
          <w:rFonts w:asciiTheme="minorHAnsi" w:hAnsiTheme="minorHAnsi" w:cstheme="minorHAnsi"/>
        </w:rPr>
        <w:t xml:space="preserve"> ZCTAs </w:t>
      </w:r>
      <w:r w:rsidR="0022484B">
        <w:rPr>
          <w:rFonts w:asciiTheme="minorHAnsi" w:hAnsiTheme="minorHAnsi" w:cstheme="minorHAnsi"/>
        </w:rPr>
        <w:t xml:space="preserve">had </w:t>
      </w:r>
      <w:r w:rsidR="0073052C">
        <w:rPr>
          <w:rFonts w:asciiTheme="minorHAnsi" w:hAnsiTheme="minorHAnsi" w:cstheme="minorHAnsi"/>
        </w:rPr>
        <w:t xml:space="preserve">to be linked </w:t>
      </w:r>
      <w:r>
        <w:rPr>
          <w:rFonts w:asciiTheme="minorHAnsi" w:hAnsiTheme="minorHAnsi" w:cstheme="minorHAnsi"/>
        </w:rPr>
        <w:t>to Virginia counties and independent cities.</w:t>
      </w:r>
      <w:r w:rsidR="0022484B">
        <w:rPr>
          <w:rFonts w:asciiTheme="minorHAnsi" w:hAnsiTheme="minorHAnsi" w:cstheme="minorHAnsi"/>
        </w:rPr>
        <w:t xml:space="preserve"> Because ZCTA boundaries can cut across multiple counties, this was not an exact match. Assignment of a county/independent city to each ZCTA was </w:t>
      </w:r>
      <w:r>
        <w:rPr>
          <w:rFonts w:asciiTheme="minorHAnsi" w:hAnsiTheme="minorHAnsi" w:cstheme="minorHAnsi"/>
        </w:rPr>
        <w:t>performed using t</w:t>
      </w:r>
      <w:r w:rsidR="00644D04" w:rsidRPr="00F94935">
        <w:rPr>
          <w:rFonts w:asciiTheme="minorHAnsi" w:hAnsiTheme="minorHAnsi" w:cstheme="minorHAnsi"/>
        </w:rPr>
        <w:t>he procedure</w:t>
      </w:r>
      <w:r>
        <w:rPr>
          <w:rFonts w:asciiTheme="minorHAnsi" w:hAnsiTheme="minorHAnsi" w:cstheme="minorHAnsi"/>
        </w:rPr>
        <w:t xml:space="preserve"> </w:t>
      </w:r>
      <w:proofErr w:type="spellStart"/>
      <w:r w:rsidRPr="0062690D">
        <w:rPr>
          <w:rFonts w:asciiTheme="minorHAnsi" w:hAnsiTheme="minorHAnsi" w:cstheme="minorHAnsi"/>
          <w:i/>
          <w:iCs/>
        </w:rPr>
        <w:t>Geocorr</w:t>
      </w:r>
      <w:proofErr w:type="spellEnd"/>
      <w:r>
        <w:rPr>
          <w:rFonts w:asciiTheme="minorHAnsi" w:hAnsiTheme="minorHAnsi" w:cstheme="minorHAnsi"/>
          <w:i/>
          <w:iCs/>
        </w:rPr>
        <w:t xml:space="preserve"> </w:t>
      </w:r>
      <w:r w:rsidRPr="0062690D">
        <w:rPr>
          <w:rFonts w:asciiTheme="minorHAnsi" w:hAnsiTheme="minorHAnsi" w:cstheme="minorHAnsi"/>
          <w:i/>
          <w:iCs/>
        </w:rPr>
        <w:t>2018</w:t>
      </w:r>
      <w:r w:rsidRPr="00F94935">
        <w:rPr>
          <w:rFonts w:asciiTheme="minorHAnsi" w:hAnsiTheme="minorHAnsi" w:cstheme="minorHAnsi"/>
          <w:vertAlign w:val="superscript"/>
        </w:rPr>
        <w:footnoteReference w:id="8"/>
      </w:r>
      <w:r w:rsidRPr="00F94935">
        <w:rPr>
          <w:rFonts w:asciiTheme="minorHAnsi" w:hAnsiTheme="minorHAnsi" w:cstheme="minorHAnsi"/>
          <w:vertAlign w:val="superscript"/>
        </w:rPr>
        <w:t xml:space="preserve"> </w:t>
      </w:r>
      <w:r w:rsidR="00644D04" w:rsidRPr="00F94935">
        <w:rPr>
          <w:rFonts w:asciiTheme="minorHAnsi" w:hAnsiTheme="minorHAnsi" w:cstheme="minorHAnsi"/>
        </w:rPr>
        <w:t xml:space="preserve"> from the Missouri Census Data Center’s </w:t>
      </w:r>
      <w:r>
        <w:rPr>
          <w:rFonts w:asciiTheme="minorHAnsi" w:hAnsiTheme="minorHAnsi" w:cstheme="minorHAnsi"/>
        </w:rPr>
        <w:t xml:space="preserve">(MCDC) </w:t>
      </w:r>
      <w:r w:rsidR="00644D04" w:rsidRPr="00F94935">
        <w:rPr>
          <w:rFonts w:asciiTheme="minorHAnsi" w:hAnsiTheme="minorHAnsi" w:cstheme="minorHAnsi"/>
        </w:rPr>
        <w:t>Geographic Correspondence Engine</w:t>
      </w:r>
      <w:r>
        <w:rPr>
          <w:rFonts w:asciiTheme="minorHAnsi" w:hAnsiTheme="minorHAnsi" w:cstheme="minorHAnsi"/>
        </w:rPr>
        <w:t xml:space="preserve">, which </w:t>
      </w:r>
      <w:r w:rsidR="00644D04" w:rsidRPr="00F94935">
        <w:rPr>
          <w:rFonts w:asciiTheme="minorHAnsi" w:hAnsiTheme="minorHAnsi" w:cstheme="minorHAnsi"/>
        </w:rPr>
        <w:t xml:space="preserve">is based on </w:t>
      </w:r>
      <w:r>
        <w:rPr>
          <w:rFonts w:asciiTheme="minorHAnsi" w:hAnsiTheme="minorHAnsi" w:cstheme="minorHAnsi"/>
        </w:rPr>
        <w:t xml:space="preserve">a county </w:t>
      </w:r>
      <w:r w:rsidR="00644D04" w:rsidRPr="00F94935">
        <w:rPr>
          <w:rFonts w:asciiTheme="minorHAnsi" w:hAnsiTheme="minorHAnsi" w:cstheme="minorHAnsi"/>
        </w:rPr>
        <w:t>allocation factor</w:t>
      </w:r>
      <w:r>
        <w:rPr>
          <w:rFonts w:asciiTheme="minorHAnsi" w:hAnsiTheme="minorHAnsi" w:cstheme="minorHAnsi"/>
        </w:rPr>
        <w:t xml:space="preserve"> derived from </w:t>
      </w:r>
      <w:r w:rsidR="00644D04" w:rsidRPr="00F94935">
        <w:rPr>
          <w:rFonts w:asciiTheme="minorHAnsi" w:hAnsiTheme="minorHAnsi" w:cstheme="minorHAnsi"/>
        </w:rPr>
        <w:t xml:space="preserve">the 2010 Census. </w:t>
      </w:r>
      <w:r>
        <w:rPr>
          <w:rFonts w:asciiTheme="minorHAnsi" w:hAnsiTheme="minorHAnsi" w:cstheme="minorHAnsi"/>
        </w:rPr>
        <w:t xml:space="preserve">The allocation factor provides the </w:t>
      </w:r>
      <w:r w:rsidR="00644D04" w:rsidRPr="00F94935">
        <w:rPr>
          <w:rFonts w:asciiTheme="minorHAnsi" w:hAnsiTheme="minorHAnsi" w:cstheme="minorHAnsi"/>
        </w:rPr>
        <w:t xml:space="preserve">proportion of source population </w:t>
      </w:r>
      <w:r>
        <w:rPr>
          <w:rFonts w:asciiTheme="minorHAnsi" w:hAnsiTheme="minorHAnsi" w:cstheme="minorHAnsi"/>
        </w:rPr>
        <w:t xml:space="preserve">(e.g., ZCTA) </w:t>
      </w:r>
      <w:r w:rsidR="00644D04" w:rsidRPr="00F94935">
        <w:rPr>
          <w:rFonts w:asciiTheme="minorHAnsi" w:hAnsiTheme="minorHAnsi" w:cstheme="minorHAnsi"/>
        </w:rPr>
        <w:t>in the target locality</w:t>
      </w:r>
      <w:r>
        <w:rPr>
          <w:rFonts w:asciiTheme="minorHAnsi" w:hAnsiTheme="minorHAnsi" w:cstheme="minorHAnsi"/>
        </w:rPr>
        <w:t xml:space="preserve"> (e.g., county)</w:t>
      </w:r>
      <w:r w:rsidR="00644D04" w:rsidRPr="00F94935">
        <w:rPr>
          <w:rFonts w:asciiTheme="minorHAnsi" w:hAnsiTheme="minorHAnsi" w:cstheme="minorHAnsi"/>
        </w:rPr>
        <w:t xml:space="preserve">. </w:t>
      </w:r>
      <w:r>
        <w:rPr>
          <w:rFonts w:asciiTheme="minorHAnsi" w:hAnsiTheme="minorHAnsi" w:cstheme="minorHAnsi"/>
        </w:rPr>
        <w:t xml:space="preserve">Based on the MCDC data, each ZCTA was assigned to the county/independent city that contained the largest proportion of the ZCTA’s population. </w:t>
      </w:r>
      <w:r w:rsidR="005F15E5">
        <w:rPr>
          <w:rFonts w:asciiTheme="minorHAnsi" w:hAnsiTheme="minorHAnsi" w:cstheme="minorHAnsi"/>
        </w:rPr>
        <w:t>ZCTAs were contained entirely within a county/independent city boundary for the majority of ZCTAs (618</w:t>
      </w:r>
      <w:r w:rsidR="00BE6296">
        <w:rPr>
          <w:rFonts w:asciiTheme="minorHAnsi" w:hAnsiTheme="minorHAnsi" w:cstheme="minorHAnsi"/>
        </w:rPr>
        <w:t xml:space="preserve"> of 883</w:t>
      </w:r>
      <w:r w:rsidR="0022484B">
        <w:rPr>
          <w:rFonts w:asciiTheme="minorHAnsi" w:hAnsiTheme="minorHAnsi" w:cstheme="minorHAnsi"/>
        </w:rPr>
        <w:t xml:space="preserve"> </w:t>
      </w:r>
      <w:r w:rsidR="00BE6296">
        <w:rPr>
          <w:rFonts w:asciiTheme="minorHAnsi" w:hAnsiTheme="minorHAnsi" w:cstheme="minorHAnsi"/>
        </w:rPr>
        <w:t>=</w:t>
      </w:r>
      <w:r w:rsidR="0022484B">
        <w:rPr>
          <w:rFonts w:asciiTheme="minorHAnsi" w:hAnsiTheme="minorHAnsi" w:cstheme="minorHAnsi"/>
        </w:rPr>
        <w:t xml:space="preserve"> </w:t>
      </w:r>
      <w:r w:rsidR="00BE6296">
        <w:rPr>
          <w:rFonts w:asciiTheme="minorHAnsi" w:hAnsiTheme="minorHAnsi" w:cstheme="minorHAnsi"/>
        </w:rPr>
        <w:t>70.0%) and had at least 75% of their population in a single county/independent city for 89.3% (789 of 883) of ZCTAs.</w:t>
      </w:r>
    </w:p>
    <w:p w14:paraId="504323DA" w14:textId="30F1626B" w:rsidR="005F15E5" w:rsidRDefault="005F15E5" w:rsidP="0062690D">
      <w:pPr>
        <w:rPr>
          <w:rFonts w:asciiTheme="minorHAnsi" w:hAnsiTheme="minorHAnsi" w:cstheme="minorHAnsi"/>
        </w:rPr>
      </w:pPr>
    </w:p>
    <w:p w14:paraId="43BA076C" w14:textId="57640AA0" w:rsidR="00644D04" w:rsidRPr="00F94935" w:rsidRDefault="00BE6296" w:rsidP="00BE6296">
      <w:pPr>
        <w:rPr>
          <w:rFonts w:asciiTheme="minorHAnsi" w:hAnsiTheme="minorHAnsi" w:cstheme="minorHAnsi"/>
        </w:rPr>
      </w:pPr>
      <w:r>
        <w:rPr>
          <w:rFonts w:asciiTheme="minorHAnsi" w:hAnsiTheme="minorHAnsi" w:cstheme="minorHAnsi"/>
        </w:rPr>
        <w:t>CSB</w:t>
      </w:r>
      <w:r w:rsidR="003A515D">
        <w:rPr>
          <w:rFonts w:asciiTheme="minorHAnsi" w:hAnsiTheme="minorHAnsi" w:cstheme="minorHAnsi"/>
        </w:rPr>
        <w:t>-level</w:t>
      </w:r>
      <w:r>
        <w:rPr>
          <w:rFonts w:asciiTheme="minorHAnsi" w:hAnsiTheme="minorHAnsi" w:cstheme="minorHAnsi"/>
        </w:rPr>
        <w:t xml:space="preserve"> rates </w:t>
      </w:r>
      <w:r w:rsidR="003A515D">
        <w:rPr>
          <w:rFonts w:asciiTheme="minorHAnsi" w:hAnsiTheme="minorHAnsi" w:cstheme="minorHAnsi"/>
        </w:rPr>
        <w:t xml:space="preserve">per 100,000 </w:t>
      </w:r>
      <w:r>
        <w:rPr>
          <w:rFonts w:asciiTheme="minorHAnsi" w:hAnsiTheme="minorHAnsi" w:cstheme="minorHAnsi"/>
        </w:rPr>
        <w:t xml:space="preserve">were computed </w:t>
      </w:r>
      <w:r w:rsidR="003A515D">
        <w:rPr>
          <w:rFonts w:asciiTheme="minorHAnsi" w:hAnsiTheme="minorHAnsi" w:cstheme="minorHAnsi"/>
        </w:rPr>
        <w:t xml:space="preserve">for SED, SMI, SID, and MULTI </w:t>
      </w:r>
      <w:r>
        <w:rPr>
          <w:rFonts w:asciiTheme="minorHAnsi" w:hAnsiTheme="minorHAnsi" w:cstheme="minorHAnsi"/>
        </w:rPr>
        <w:t xml:space="preserve">by summing outcome counts and population totals for ZCTAs within each CSB’s county/independent city service area provided by </w:t>
      </w:r>
      <w:r w:rsidR="00644D04" w:rsidRPr="00F94935">
        <w:rPr>
          <w:rFonts w:asciiTheme="minorHAnsi" w:hAnsiTheme="minorHAnsi" w:cstheme="minorHAnsi"/>
        </w:rPr>
        <w:t>the Virginia Department of Behavioral Health &amp; Developmental Services (VDBHDS).</w:t>
      </w:r>
      <w:r w:rsidR="00644D04" w:rsidRPr="00F94935">
        <w:rPr>
          <w:rFonts w:asciiTheme="minorHAnsi" w:hAnsiTheme="minorHAnsi" w:cstheme="minorHAnsi"/>
          <w:vertAlign w:val="superscript"/>
        </w:rPr>
        <w:footnoteReference w:id="9"/>
      </w:r>
      <w:r w:rsidR="00644D04" w:rsidRPr="00F94935">
        <w:rPr>
          <w:rFonts w:asciiTheme="minorHAnsi" w:hAnsiTheme="minorHAnsi" w:cstheme="minorHAnsi"/>
          <w:vertAlign w:val="superscript"/>
        </w:rPr>
        <w:t xml:space="preserve"> </w:t>
      </w:r>
      <w:r w:rsidR="00644D04" w:rsidRPr="00F94935">
        <w:rPr>
          <w:rFonts w:asciiTheme="minorHAnsi" w:hAnsiTheme="minorHAnsi" w:cstheme="minorHAnsi"/>
        </w:rPr>
        <w:t xml:space="preserve"> </w:t>
      </w:r>
      <w:r w:rsidR="003A515D">
        <w:rPr>
          <w:rFonts w:asciiTheme="minorHAnsi" w:hAnsiTheme="minorHAnsi" w:cstheme="minorHAnsi"/>
        </w:rPr>
        <w:t xml:space="preserve">Using the methods described above, 95% confidence limits were computed for each rate. </w:t>
      </w:r>
    </w:p>
    <w:p w14:paraId="4DD54229" w14:textId="77777777" w:rsidR="001D3EF4" w:rsidRDefault="001D3EF4" w:rsidP="00A206A3">
      <w:pPr>
        <w:rPr>
          <w:rFonts w:asciiTheme="minorHAnsi" w:hAnsiTheme="minorHAnsi" w:cstheme="minorHAnsi"/>
          <w:b/>
          <w:bCs/>
        </w:rPr>
      </w:pPr>
    </w:p>
    <w:p w14:paraId="7DEC9D5E" w14:textId="2C1A0191" w:rsidR="003A515D" w:rsidRPr="001A2D8F" w:rsidRDefault="003A515D" w:rsidP="003A515D">
      <w:pPr>
        <w:keepNext/>
        <w:keepLines/>
        <w:outlineLvl w:val="1"/>
        <w:rPr>
          <w:rFonts w:ascii="Calibri" w:eastAsia="MS Gothic" w:hAnsi="Calibri"/>
          <w:b/>
          <w:bCs/>
          <w:i/>
          <w:iCs/>
          <w:color w:val="0E6395"/>
          <w:sz w:val="28"/>
          <w:lang w:eastAsia="en-US"/>
        </w:rPr>
      </w:pPr>
      <w:r>
        <w:rPr>
          <w:rFonts w:ascii="Calibri" w:eastAsia="MS Gothic" w:hAnsi="Calibri"/>
          <w:b/>
          <w:bCs/>
          <w:i/>
          <w:iCs/>
          <w:color w:val="0E6395"/>
          <w:sz w:val="28"/>
          <w:lang w:eastAsia="en-US"/>
        </w:rPr>
        <w:t xml:space="preserve">Computing </w:t>
      </w:r>
      <w:r w:rsidR="00A61B3F">
        <w:rPr>
          <w:rFonts w:ascii="Calibri" w:eastAsia="MS Gothic" w:hAnsi="Calibri"/>
          <w:b/>
          <w:bCs/>
          <w:i/>
          <w:iCs/>
          <w:color w:val="0E6395"/>
          <w:sz w:val="28"/>
          <w:lang w:eastAsia="en-US"/>
        </w:rPr>
        <w:t>Behavioral Health Indexes (BHI)</w:t>
      </w:r>
      <w:r>
        <w:rPr>
          <w:rFonts w:ascii="Calibri" w:eastAsia="MS Gothic" w:hAnsi="Calibri"/>
          <w:b/>
          <w:bCs/>
          <w:i/>
          <w:iCs/>
          <w:color w:val="0E6395"/>
          <w:sz w:val="28"/>
          <w:lang w:eastAsia="en-US"/>
        </w:rPr>
        <w:t xml:space="preserve"> </w:t>
      </w:r>
    </w:p>
    <w:p w14:paraId="6DD1CFF0" w14:textId="77777777" w:rsidR="009F6346" w:rsidRDefault="009F6346" w:rsidP="003A515D">
      <w:pPr>
        <w:rPr>
          <w:rFonts w:asciiTheme="minorHAnsi" w:hAnsiTheme="minorHAnsi" w:cstheme="minorHAnsi"/>
          <w:b/>
          <w:bCs/>
          <w:u w:val="single"/>
        </w:rPr>
      </w:pPr>
    </w:p>
    <w:p w14:paraId="59F2F3E3" w14:textId="77777777" w:rsidR="009F6346" w:rsidRPr="00287939" w:rsidRDefault="009F6346" w:rsidP="009F6346">
      <w:pPr>
        <w:rPr>
          <w:rFonts w:asciiTheme="minorHAnsi" w:hAnsiTheme="minorHAnsi" w:cstheme="minorHAnsi"/>
          <w:b/>
          <w:bCs/>
          <w:i/>
          <w:iCs/>
        </w:rPr>
      </w:pPr>
      <w:r w:rsidRPr="00287939">
        <w:rPr>
          <w:rFonts w:asciiTheme="minorHAnsi" w:hAnsiTheme="minorHAnsi" w:cstheme="minorHAnsi"/>
          <w:b/>
          <w:bCs/>
          <w:i/>
          <w:iCs/>
        </w:rPr>
        <w:t>Indicators</w:t>
      </w:r>
    </w:p>
    <w:p w14:paraId="5F1DD300" w14:textId="62A119AD" w:rsidR="00B05CEA" w:rsidRDefault="009F6346" w:rsidP="00B05CEA">
      <w:pPr>
        <w:rPr>
          <w:rFonts w:asciiTheme="minorHAnsi" w:hAnsiTheme="minorHAnsi" w:cstheme="minorHAnsi"/>
        </w:rPr>
      </w:pPr>
      <w:r w:rsidRPr="00F94935">
        <w:rPr>
          <w:rFonts w:asciiTheme="minorHAnsi" w:hAnsiTheme="minorHAnsi" w:cstheme="minorHAnsi"/>
        </w:rPr>
        <w:t xml:space="preserve">Twenty-five </w:t>
      </w:r>
      <w:r w:rsidR="00287939">
        <w:rPr>
          <w:rFonts w:asciiTheme="minorHAnsi" w:hAnsiTheme="minorHAnsi" w:cstheme="minorHAnsi"/>
        </w:rPr>
        <w:t xml:space="preserve">ZCTA-level </w:t>
      </w:r>
      <w:r w:rsidRPr="00F94935">
        <w:rPr>
          <w:rFonts w:asciiTheme="minorHAnsi" w:hAnsiTheme="minorHAnsi" w:cstheme="minorHAnsi"/>
        </w:rPr>
        <w:t>Indicators</w:t>
      </w:r>
      <w:r w:rsidR="00287939">
        <w:rPr>
          <w:rFonts w:asciiTheme="minorHAnsi" w:hAnsiTheme="minorHAnsi" w:cstheme="minorHAnsi"/>
        </w:rPr>
        <w:t xml:space="preserve"> from the </w:t>
      </w:r>
      <w:r w:rsidR="00287939" w:rsidRPr="00F94935">
        <w:rPr>
          <w:rFonts w:asciiTheme="minorHAnsi" w:hAnsiTheme="minorHAnsi" w:cstheme="minorHAnsi"/>
        </w:rPr>
        <w:t>2018 American Community Survey (ACS) 5-year data</w:t>
      </w:r>
      <w:r w:rsidR="00B05CEA">
        <w:rPr>
          <w:rFonts w:asciiTheme="minorHAnsi" w:hAnsiTheme="minorHAnsi" w:cstheme="minorHAnsi"/>
        </w:rPr>
        <w:t xml:space="preserve"> were downloaded</w:t>
      </w:r>
      <w:r w:rsidR="00287939">
        <w:rPr>
          <w:rStyle w:val="FootnoteReference"/>
          <w:rFonts w:asciiTheme="minorHAnsi" w:hAnsiTheme="minorHAnsi" w:cstheme="minorHAnsi"/>
        </w:rPr>
        <w:footnoteReference w:id="10"/>
      </w:r>
      <w:r w:rsidR="00287939" w:rsidRPr="00F94935">
        <w:rPr>
          <w:rFonts w:asciiTheme="minorHAnsi" w:hAnsiTheme="minorHAnsi" w:cstheme="minorHAnsi"/>
        </w:rPr>
        <w:t xml:space="preserve"> </w:t>
      </w:r>
      <w:r w:rsidR="00B05CEA">
        <w:rPr>
          <w:rFonts w:asciiTheme="minorHAnsi" w:hAnsiTheme="minorHAnsi" w:cstheme="minorHAnsi"/>
        </w:rPr>
        <w:t xml:space="preserve">and </w:t>
      </w:r>
      <w:r w:rsidR="00287939">
        <w:rPr>
          <w:rFonts w:asciiTheme="minorHAnsi" w:hAnsiTheme="minorHAnsi" w:cstheme="minorHAnsi"/>
        </w:rPr>
        <w:t>used in the BHI modeling</w:t>
      </w:r>
      <w:r w:rsidRPr="00F94935">
        <w:rPr>
          <w:rFonts w:asciiTheme="minorHAnsi" w:hAnsiTheme="minorHAnsi" w:cstheme="minorHAnsi"/>
        </w:rPr>
        <w:t>. Most indicators were presented as a numerator divided by the population denominator as a percent (numerator / denominator), with exceptions being indicators representing income levels or prices. Indicators were converted into z-scores by subtracting the mean value and dividing by the standard deviation. These z-scores were also aggregated to the community service board (CSB) level by taking population-weighted averages of those ZCTA-level z-scores that map into particular CSBs.</w:t>
      </w:r>
      <w:r w:rsidR="00B05CEA">
        <w:rPr>
          <w:rFonts w:asciiTheme="minorHAnsi" w:hAnsiTheme="minorHAnsi" w:cstheme="minorHAnsi"/>
        </w:rPr>
        <w:t xml:space="preserve"> A detailed list of indicators can be found in the Excel sheet entitled “BHI2</w:t>
      </w:r>
      <w:r w:rsidR="00B05CEA" w:rsidRPr="00394536">
        <w:rPr>
          <w:rFonts w:asciiTheme="minorHAnsi" w:hAnsiTheme="minorHAnsi" w:cstheme="minorHAnsi"/>
        </w:rPr>
        <w:t>_SupplementalTables.xlsx</w:t>
      </w:r>
      <w:r w:rsidR="00B05CEA">
        <w:rPr>
          <w:rFonts w:asciiTheme="minorHAnsi" w:hAnsiTheme="minorHAnsi" w:cstheme="minorHAnsi"/>
        </w:rPr>
        <w:t xml:space="preserve">”. </w:t>
      </w:r>
    </w:p>
    <w:p w14:paraId="588325E7" w14:textId="163493B9" w:rsidR="009F6346" w:rsidRDefault="009F6346" w:rsidP="009F6346">
      <w:pPr>
        <w:rPr>
          <w:rFonts w:asciiTheme="minorHAnsi" w:hAnsiTheme="minorHAnsi" w:cstheme="minorHAnsi"/>
        </w:rPr>
      </w:pPr>
    </w:p>
    <w:p w14:paraId="078E67C0" w14:textId="77777777" w:rsidR="009F6346" w:rsidRPr="00F94935" w:rsidRDefault="009F6346" w:rsidP="009F6346">
      <w:pPr>
        <w:rPr>
          <w:rFonts w:asciiTheme="minorHAnsi" w:hAnsiTheme="minorHAnsi" w:cstheme="minorHAnsi"/>
          <w:i/>
          <w:iCs/>
        </w:rPr>
      </w:pPr>
      <w:r w:rsidRPr="00F94935">
        <w:rPr>
          <w:rFonts w:asciiTheme="minorHAnsi" w:hAnsiTheme="minorHAnsi" w:cstheme="minorHAnsi"/>
          <w:i/>
          <w:iCs/>
        </w:rPr>
        <w:t>Missing Data</w:t>
      </w:r>
    </w:p>
    <w:p w14:paraId="7D2EE053" w14:textId="0AA52343" w:rsidR="009F6346" w:rsidRDefault="009F6346" w:rsidP="009F6346">
      <w:pPr>
        <w:rPr>
          <w:rFonts w:asciiTheme="minorHAnsi" w:hAnsiTheme="minorHAnsi" w:cstheme="minorHAnsi"/>
        </w:rPr>
      </w:pPr>
      <w:r w:rsidRPr="00F94935">
        <w:rPr>
          <w:rFonts w:asciiTheme="minorHAnsi" w:hAnsiTheme="minorHAnsi" w:cstheme="minorHAnsi"/>
        </w:rPr>
        <w:t xml:space="preserve">Missing data occurred in three ways: a ZCTA-level indicator was missing, the number of outcomes levels in a ZCTA was below X, or the underlying population of a ZCTA was below Y. These data were imputed using </w:t>
      </w:r>
      <w:r w:rsidRPr="00F94935">
        <w:rPr>
          <w:rFonts w:asciiTheme="minorHAnsi" w:hAnsiTheme="minorHAnsi" w:cstheme="minorHAnsi"/>
          <w:i/>
        </w:rPr>
        <w:t>k</w:t>
      </w:r>
      <w:r w:rsidRPr="00F94935">
        <w:rPr>
          <w:rFonts w:asciiTheme="minorHAnsi" w:hAnsiTheme="minorHAnsi" w:cstheme="minorHAnsi"/>
        </w:rPr>
        <w:t>-nearest neighbor (KNN).</w:t>
      </w:r>
    </w:p>
    <w:p w14:paraId="7C467C61" w14:textId="77777777" w:rsidR="000A52C1" w:rsidRDefault="000A52C1" w:rsidP="009F6346">
      <w:pPr>
        <w:rPr>
          <w:rFonts w:asciiTheme="minorHAnsi" w:hAnsiTheme="minorHAnsi" w:cstheme="minorHAnsi"/>
        </w:rPr>
      </w:pPr>
    </w:p>
    <w:p w14:paraId="51A8A9E1" w14:textId="2B719C04" w:rsidR="007F622A" w:rsidRPr="003A515D" w:rsidRDefault="007F622A" w:rsidP="00A206A3">
      <w:pPr>
        <w:rPr>
          <w:rFonts w:asciiTheme="minorHAnsi" w:hAnsiTheme="minorHAnsi" w:cstheme="minorHAnsi"/>
          <w:b/>
          <w:bCs/>
          <w:i/>
          <w:iCs/>
        </w:rPr>
      </w:pPr>
      <w:r w:rsidRPr="003A515D">
        <w:rPr>
          <w:rFonts w:asciiTheme="minorHAnsi" w:hAnsiTheme="minorHAnsi" w:cstheme="minorHAnsi"/>
          <w:b/>
          <w:bCs/>
          <w:i/>
          <w:iCs/>
        </w:rPr>
        <w:t>Weighted Quantile Sum Regression</w:t>
      </w:r>
    </w:p>
    <w:p w14:paraId="30394062" w14:textId="7A6EABB4" w:rsidR="00E47C1E" w:rsidRDefault="007F622A" w:rsidP="00A206A3">
      <w:pPr>
        <w:rPr>
          <w:rFonts w:asciiTheme="minorHAnsi" w:hAnsiTheme="minorHAnsi" w:cstheme="minorHAnsi"/>
        </w:rPr>
      </w:pPr>
      <w:r w:rsidRPr="00F94935">
        <w:rPr>
          <w:rFonts w:asciiTheme="minorHAnsi" w:hAnsiTheme="minorHAnsi" w:cstheme="minorHAnsi"/>
        </w:rPr>
        <w:t>All indicators were coerced to be positively associated with the outcome in the same direction by multiplying some indicators by -1</w:t>
      </w:r>
      <w:r w:rsidR="00BA51A1">
        <w:rPr>
          <w:rFonts w:asciiTheme="minorHAnsi" w:hAnsiTheme="minorHAnsi" w:cstheme="minorHAnsi"/>
        </w:rPr>
        <w:t xml:space="preserve"> (see Table 1 for list of bivariate correlations between indicators and outcomes)</w:t>
      </w:r>
      <w:r w:rsidRPr="00F94935">
        <w:rPr>
          <w:rFonts w:asciiTheme="minorHAnsi" w:hAnsiTheme="minorHAnsi" w:cstheme="minorHAnsi"/>
        </w:rPr>
        <w:t xml:space="preserve">. </w:t>
      </w:r>
      <w:r w:rsidR="00E47C1E">
        <w:rPr>
          <w:rFonts w:asciiTheme="minorHAnsi" w:hAnsiTheme="minorHAnsi" w:cstheme="minorHAnsi"/>
        </w:rPr>
        <w:t xml:space="preserve">Some of the bivariate correlations may appear counterintuitive, but </w:t>
      </w:r>
      <w:r w:rsidR="0073052C">
        <w:rPr>
          <w:rFonts w:asciiTheme="minorHAnsi" w:hAnsiTheme="minorHAnsi" w:cstheme="minorHAnsi"/>
        </w:rPr>
        <w:t xml:space="preserve">several indicators were likely markers for other factors. </w:t>
      </w:r>
      <w:r w:rsidR="00E47C1E">
        <w:rPr>
          <w:rFonts w:asciiTheme="minorHAnsi" w:hAnsiTheme="minorHAnsi" w:cstheme="minorHAnsi"/>
        </w:rPr>
        <w:t>For example, the bivariate correlation between each indicator and the degree of rurality is shown in Table 2 – many indicators (e.g., access to public transportation, bachelor’s degree or higher education) had a strong negative association with rurality.</w:t>
      </w:r>
      <w:r w:rsidR="002B34D2" w:rsidRPr="002B34D2">
        <w:rPr>
          <w:rFonts w:asciiTheme="minorHAnsi" w:hAnsiTheme="minorHAnsi" w:cstheme="minorHAnsi"/>
        </w:rPr>
        <w:t xml:space="preserve"> </w:t>
      </w:r>
      <w:r w:rsidR="002B34D2">
        <w:rPr>
          <w:rFonts w:asciiTheme="minorHAnsi" w:hAnsiTheme="minorHAnsi" w:cstheme="minorHAnsi"/>
        </w:rPr>
        <w:t>It is important to note that the purpose of this analysis was to generate the best place-based model of each of the behavioral health outcomes and not to provide causal associations.</w:t>
      </w:r>
    </w:p>
    <w:p w14:paraId="68714C42" w14:textId="77777777" w:rsidR="00E47C1E" w:rsidRDefault="00E47C1E" w:rsidP="00A206A3">
      <w:pPr>
        <w:rPr>
          <w:rFonts w:asciiTheme="minorHAnsi" w:hAnsiTheme="minorHAnsi" w:cstheme="minorHAnsi"/>
        </w:rPr>
      </w:pPr>
    </w:p>
    <w:p w14:paraId="066DBA04" w14:textId="5A072CCB" w:rsidR="00802F32" w:rsidRDefault="007F622A" w:rsidP="00A206A3">
      <w:pPr>
        <w:rPr>
          <w:rFonts w:asciiTheme="minorHAnsi" w:hAnsiTheme="minorHAnsi" w:cstheme="minorHAnsi"/>
        </w:rPr>
      </w:pPr>
      <w:r w:rsidRPr="00F94935">
        <w:rPr>
          <w:rFonts w:asciiTheme="minorHAnsi" w:hAnsiTheme="minorHAnsi" w:cstheme="minorHAnsi"/>
        </w:rPr>
        <w:t xml:space="preserve">Weighted quantile sum regression was then performed </w:t>
      </w:r>
      <w:r w:rsidR="004C2EF1">
        <w:rPr>
          <w:rFonts w:asciiTheme="minorHAnsi" w:hAnsiTheme="minorHAnsi" w:cstheme="minorHAnsi"/>
        </w:rPr>
        <w:t xml:space="preserve">at </w:t>
      </w:r>
      <w:r w:rsidRPr="00F94935">
        <w:rPr>
          <w:rFonts w:asciiTheme="minorHAnsi" w:hAnsiTheme="minorHAnsi" w:cstheme="minorHAnsi"/>
        </w:rPr>
        <w:t xml:space="preserve">the ZCTA level, separately for each of the four outcomes, using four quantiles and with the specification that the overall index is positively associated with the outcome, indicating that a higher BHI score relates to an increased rate of SED, SMI, SUD or the </w:t>
      </w:r>
      <w:r w:rsidR="00102881">
        <w:rPr>
          <w:rFonts w:asciiTheme="minorHAnsi" w:hAnsiTheme="minorHAnsi" w:cstheme="minorHAnsi"/>
        </w:rPr>
        <w:t>c</w:t>
      </w:r>
      <w:r w:rsidRPr="00F94935">
        <w:rPr>
          <w:rFonts w:asciiTheme="minorHAnsi" w:hAnsiTheme="minorHAnsi" w:cstheme="minorHAnsi"/>
        </w:rPr>
        <w:t xml:space="preserve">omposite </w:t>
      </w:r>
      <w:r w:rsidR="00102881">
        <w:rPr>
          <w:rFonts w:asciiTheme="minorHAnsi" w:hAnsiTheme="minorHAnsi" w:cstheme="minorHAnsi"/>
        </w:rPr>
        <w:t xml:space="preserve">MULTI </w:t>
      </w:r>
      <w:r w:rsidRPr="00F94935">
        <w:rPr>
          <w:rFonts w:asciiTheme="minorHAnsi" w:hAnsiTheme="minorHAnsi" w:cstheme="minorHAnsi"/>
        </w:rPr>
        <w:t xml:space="preserve">outcome. This least-squares regression model was weighted and constrained, assigning weights to each indicator such that the maximum amount of variation in the outcome was explained; indicators that explained more variation in the outcome were assigned a higher weight; and the sum of </w:t>
      </w:r>
      <w:r w:rsidR="004C2EF1" w:rsidRPr="00F94935">
        <w:rPr>
          <w:rFonts w:asciiTheme="minorHAnsi" w:hAnsiTheme="minorHAnsi" w:cstheme="minorHAnsi"/>
        </w:rPr>
        <w:t>all</w:t>
      </w:r>
      <w:r w:rsidRPr="00F94935">
        <w:rPr>
          <w:rFonts w:asciiTheme="minorHAnsi" w:hAnsiTheme="minorHAnsi" w:cstheme="minorHAnsi"/>
        </w:rPr>
        <w:t xml:space="preserve"> the indicators’ weights included in the model summed to one. Because all weights summed to one, the proportion of importance of an indicator variable included in the model is represented by its weight.</w:t>
      </w:r>
    </w:p>
    <w:p w14:paraId="3EF0E92C" w14:textId="77777777" w:rsidR="00802F32" w:rsidRDefault="00802F32">
      <w:pPr>
        <w:spacing w:after="160" w:line="259" w:lineRule="auto"/>
        <w:rPr>
          <w:rFonts w:asciiTheme="minorHAnsi" w:hAnsiTheme="minorHAnsi" w:cstheme="minorHAnsi"/>
        </w:rPr>
      </w:pPr>
      <w:r>
        <w:rPr>
          <w:rFonts w:asciiTheme="minorHAnsi" w:hAnsiTheme="minorHAnsi" w:cstheme="minorHAnsi"/>
        </w:rPr>
        <w:br w:type="page"/>
      </w:r>
    </w:p>
    <w:p w14:paraId="4E8A0018" w14:textId="3A85ED64" w:rsidR="007F622A" w:rsidRDefault="007F622A" w:rsidP="00A206A3">
      <w:pPr>
        <w:rPr>
          <w:rFonts w:asciiTheme="minorHAnsi" w:hAnsiTheme="minorHAnsi" w:cstheme="minorHAnsi"/>
        </w:rPr>
      </w:pPr>
      <w:r w:rsidRPr="00F94935">
        <w:rPr>
          <w:rFonts w:asciiTheme="minorHAnsi" w:hAnsiTheme="minorHAnsi" w:cstheme="minorHAnsi"/>
        </w:rPr>
        <w:t xml:space="preserve"> This analysis produced the following results at the ZCTA level:</w:t>
      </w:r>
    </w:p>
    <w:p w14:paraId="30A0BF32" w14:textId="77777777" w:rsidR="00B05CEA" w:rsidRPr="00F94935" w:rsidRDefault="00B05CEA" w:rsidP="00A206A3">
      <w:pPr>
        <w:rPr>
          <w:rFonts w:asciiTheme="minorHAnsi" w:hAnsiTheme="minorHAnsi" w:cstheme="minorHAnsi"/>
        </w:rPr>
      </w:pPr>
    </w:p>
    <w:p w14:paraId="1F326D04" w14:textId="77777777" w:rsidR="007F622A" w:rsidRPr="00F94935" w:rsidRDefault="009917B6" w:rsidP="00A206A3">
      <w:pPr>
        <w:jc w:val="center"/>
        <w:rPr>
          <w:rFonts w:asciiTheme="minorHAnsi" w:eastAsiaTheme="minorEastAsia" w:hAnsiTheme="minorHAnsi" w:cstheme="minorHAnsi"/>
        </w:rPr>
      </w:pPr>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Y</m:t>
                </m:r>
              </m:e>
            </m:acc>
          </m:e>
          <m:sub>
            <m:r>
              <w:rPr>
                <w:rFonts w:ascii="Cambria Math" w:hAnsi="Cambria Math" w:cstheme="minorHAnsi"/>
              </w:rPr>
              <m:t>i,ZCTA</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0</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1</m:t>
            </m:r>
          </m:sub>
        </m:sSub>
        <m:nary>
          <m:naryPr>
            <m:chr m:val="∑"/>
            <m:limLoc m:val="subSup"/>
            <m:ctrlPr>
              <w:rPr>
                <w:rFonts w:ascii="Cambria Math" w:hAnsi="Cambria Math" w:cstheme="minorHAnsi"/>
                <w:i/>
              </w:rPr>
            </m:ctrlPr>
          </m:naryPr>
          <m:sub>
            <m:r>
              <w:rPr>
                <w:rFonts w:ascii="Cambria Math" w:hAnsi="Cambria Math" w:cstheme="minorHAnsi"/>
              </w:rPr>
              <m:t>j=1</m:t>
            </m:r>
          </m:sub>
          <m:sup>
            <m:r>
              <w:rPr>
                <w:rFonts w:ascii="Cambria Math" w:hAnsi="Cambria Math" w:cstheme="minorHAnsi"/>
              </w:rPr>
              <m:t>25</m:t>
            </m:r>
          </m:sup>
          <m:e>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j</m:t>
                </m:r>
              </m:sub>
            </m:sSub>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ji</m:t>
                </m:r>
              </m:sub>
            </m:sSub>
          </m:e>
        </m:nary>
      </m:oMath>
      <w:r w:rsidR="007F622A" w:rsidRPr="00F94935">
        <w:rPr>
          <w:rFonts w:asciiTheme="minorHAnsi" w:eastAsiaTheme="minorEastAsia" w:hAnsiTheme="minorHAnsi" w:cstheme="minorHAnsi"/>
        </w:rPr>
        <w:t>,</w:t>
      </w:r>
      <m:oMath>
        <m:r>
          <w:rPr>
            <w:rFonts w:ascii="Cambria Math" w:eastAsiaTheme="minorEastAsia" w:hAnsi="Cambria Math" w:cstheme="minorHAnsi"/>
          </w:rPr>
          <m:t xml:space="preserve"> i=1, 2, …, n</m:t>
        </m:r>
      </m:oMath>
      <w:r w:rsidR="007F622A" w:rsidRPr="00F94935">
        <w:rPr>
          <w:rFonts w:asciiTheme="minorHAnsi" w:eastAsiaTheme="minorEastAsia" w:hAnsiTheme="minorHAnsi" w:cstheme="minorHAnsi"/>
        </w:rPr>
        <w:t>,</w:t>
      </w:r>
    </w:p>
    <w:p w14:paraId="6C8CF330" w14:textId="77777777" w:rsidR="007F622A" w:rsidRPr="00F94935" w:rsidRDefault="009917B6" w:rsidP="00A206A3">
      <w:pPr>
        <w:rPr>
          <w:rFonts w:asciiTheme="minorHAnsi" w:eastAsiaTheme="minorEastAsia" w:hAnsiTheme="minorHAnsi" w:cstheme="minorHAnsi"/>
        </w:rPr>
      </w:pPr>
      <m:oMathPara>
        <m:oMath>
          <m:nary>
            <m:naryPr>
              <m:chr m:val="∑"/>
              <m:limLoc m:val="subSup"/>
              <m:ctrlPr>
                <w:rPr>
                  <w:rFonts w:ascii="Cambria Math" w:eastAsiaTheme="minorEastAsia" w:hAnsi="Cambria Math" w:cstheme="minorHAnsi"/>
                  <w:i/>
                </w:rPr>
              </m:ctrlPr>
            </m:naryPr>
            <m:sub>
              <m:r>
                <w:rPr>
                  <w:rFonts w:ascii="Cambria Math" w:eastAsiaTheme="minorEastAsia" w:hAnsi="Cambria Math" w:cstheme="minorHAnsi"/>
                </w:rPr>
                <m:t>j=1</m:t>
              </m:r>
            </m:sub>
            <m:sup>
              <m:r>
                <w:rPr>
                  <w:rFonts w:ascii="Cambria Math" w:eastAsiaTheme="minorEastAsia" w:hAnsi="Cambria Math" w:cstheme="minorHAnsi"/>
                </w:rPr>
                <m:t>25</m:t>
              </m:r>
            </m:sup>
            <m:e>
              <m:sSub>
                <m:sSubPr>
                  <m:ctrlPr>
                    <w:rPr>
                      <w:rFonts w:ascii="Cambria Math" w:eastAsiaTheme="minorEastAsia" w:hAnsi="Cambria Math" w:cstheme="minorHAnsi"/>
                      <w:i/>
                    </w:rPr>
                  </m:ctrlPr>
                </m:sSubPr>
                <m:e>
                  <m:r>
                    <w:rPr>
                      <w:rFonts w:ascii="Cambria Math" w:eastAsiaTheme="minorEastAsia" w:hAnsi="Cambria Math" w:cstheme="minorHAnsi"/>
                    </w:rPr>
                    <m:t>w</m:t>
                  </m:r>
                </m:e>
                <m:sub>
                  <m:r>
                    <w:rPr>
                      <w:rFonts w:ascii="Cambria Math" w:eastAsiaTheme="minorEastAsia" w:hAnsi="Cambria Math" w:cstheme="minorHAnsi"/>
                    </w:rPr>
                    <m:t>j</m:t>
                  </m:r>
                </m:sub>
              </m:sSub>
              <m:r>
                <w:rPr>
                  <w:rFonts w:ascii="Cambria Math" w:eastAsiaTheme="minorEastAsia" w:hAnsi="Cambria Math" w:cstheme="minorHAnsi"/>
                </w:rPr>
                <m:t>=1</m:t>
              </m:r>
            </m:e>
          </m:nary>
        </m:oMath>
      </m:oMathPara>
    </w:p>
    <w:p w14:paraId="5069C1AD" w14:textId="77777777" w:rsidR="00B05CEA" w:rsidRDefault="00B05CEA" w:rsidP="00A206A3">
      <w:pPr>
        <w:rPr>
          <w:rFonts w:asciiTheme="minorHAnsi" w:eastAsiaTheme="minorEastAsia" w:hAnsiTheme="minorHAnsi" w:cstheme="minorHAnsi"/>
        </w:rPr>
      </w:pPr>
    </w:p>
    <w:p w14:paraId="765A763D" w14:textId="6B33D5F9" w:rsidR="007F622A" w:rsidRDefault="007F622A" w:rsidP="00A206A3">
      <w:pPr>
        <w:rPr>
          <w:rFonts w:asciiTheme="minorHAnsi" w:eastAsiaTheme="minorEastAsia" w:hAnsiTheme="minorHAnsi" w:cstheme="minorHAnsi"/>
        </w:rPr>
      </w:pPr>
      <w:r w:rsidRPr="00F94935">
        <w:rPr>
          <w:rFonts w:asciiTheme="minorHAnsi" w:eastAsiaTheme="minorEastAsia" w:hAnsiTheme="minorHAnsi" w:cstheme="minorHAnsi"/>
        </w:rPr>
        <w:t xml:space="preserve">where n is the number of ZCTAs, the </w:t>
      </w:r>
      <m:oMath>
        <m:sSub>
          <m:sSubPr>
            <m:ctrlPr>
              <w:rPr>
                <w:rFonts w:ascii="Cambria Math" w:eastAsiaTheme="minorEastAsia" w:hAnsi="Cambria Math" w:cstheme="minorHAnsi"/>
                <w:i/>
              </w:rPr>
            </m:ctrlPr>
          </m:sSubPr>
          <m:e>
            <m:r>
              <w:rPr>
                <w:rFonts w:ascii="Cambria Math" w:eastAsiaTheme="minorEastAsia" w:hAnsi="Cambria Math" w:cstheme="minorHAnsi"/>
              </w:rPr>
              <m:t>Z</m:t>
            </m:r>
          </m:e>
          <m:sub>
            <m:r>
              <w:rPr>
                <w:rFonts w:ascii="Cambria Math" w:eastAsiaTheme="minorEastAsia" w:hAnsi="Cambria Math" w:cstheme="minorHAnsi"/>
              </w:rPr>
              <m:t>ij</m:t>
            </m:r>
          </m:sub>
        </m:sSub>
      </m:oMath>
      <w:r w:rsidRPr="00F94935">
        <w:rPr>
          <w:rFonts w:asciiTheme="minorHAnsi" w:eastAsiaTheme="minorEastAsia" w:hAnsiTheme="minorHAnsi" w:cstheme="minorHAnsi"/>
        </w:rPr>
        <w:t xml:space="preserve"> is the z-score for the jth indicator for the ith ZCTA, and </w:t>
      </w:r>
      <m:oMath>
        <m:sSub>
          <m:sSubPr>
            <m:ctrlPr>
              <w:rPr>
                <w:rFonts w:ascii="Cambria Math" w:eastAsiaTheme="minorEastAsia" w:hAnsi="Cambria Math" w:cstheme="minorHAnsi"/>
                <w:i/>
              </w:rPr>
            </m:ctrlPr>
          </m:sSubPr>
          <m:e>
            <m:r>
              <w:rPr>
                <w:rFonts w:ascii="Cambria Math" w:eastAsiaTheme="minorEastAsia" w:hAnsi="Cambria Math" w:cstheme="minorHAnsi"/>
              </w:rPr>
              <m:t>w</m:t>
            </m:r>
          </m:e>
          <m:sub>
            <m:r>
              <w:rPr>
                <w:rFonts w:ascii="Cambria Math" w:eastAsiaTheme="minorEastAsia" w:hAnsi="Cambria Math" w:cstheme="minorHAnsi"/>
              </w:rPr>
              <m:t>j</m:t>
            </m:r>
          </m:sub>
        </m:sSub>
      </m:oMath>
      <w:r w:rsidRPr="00F94935">
        <w:rPr>
          <w:rFonts w:asciiTheme="minorHAnsi" w:eastAsiaTheme="minorEastAsia" w:hAnsiTheme="minorHAnsi" w:cstheme="minorHAnsi"/>
        </w:rPr>
        <w:t xml:space="preserve"> is the weight for the jth indicator. </w:t>
      </w:r>
    </w:p>
    <w:p w14:paraId="3EA4A0F3" w14:textId="4CBF6EE8" w:rsidR="00F55411" w:rsidRDefault="00F55411" w:rsidP="00A206A3">
      <w:pPr>
        <w:rPr>
          <w:rFonts w:asciiTheme="minorHAnsi" w:eastAsiaTheme="minorEastAsia" w:hAnsiTheme="minorHAnsi" w:cstheme="minorHAnsi"/>
        </w:rPr>
      </w:pPr>
    </w:p>
    <w:p w14:paraId="670E91F2" w14:textId="37BB5D09" w:rsidR="00F55411" w:rsidRPr="00F94935" w:rsidRDefault="00F55411" w:rsidP="00A206A3">
      <w:pPr>
        <w:rPr>
          <w:rFonts w:asciiTheme="minorHAnsi" w:eastAsiaTheme="minorEastAsia" w:hAnsiTheme="minorHAnsi" w:cstheme="minorHAnsi"/>
        </w:rPr>
      </w:pPr>
      <w:r>
        <w:rPr>
          <w:rFonts w:asciiTheme="minorHAnsi" w:eastAsiaTheme="minorEastAsia" w:hAnsiTheme="minorHAnsi" w:cstheme="minorHAnsi"/>
        </w:rPr>
        <w:t>Indicator weights for each of the Behavioral Health Indexes (SED, SMI, SUD, and MULTI) are shown in Table 3.</w:t>
      </w:r>
    </w:p>
    <w:p w14:paraId="07770178" w14:textId="77777777" w:rsidR="007F622A" w:rsidRPr="00F94935" w:rsidRDefault="007F622A" w:rsidP="00A206A3">
      <w:pPr>
        <w:rPr>
          <w:rFonts w:asciiTheme="minorHAnsi" w:hAnsiTheme="minorHAnsi" w:cstheme="minorHAnsi"/>
        </w:rPr>
      </w:pPr>
    </w:p>
    <w:p w14:paraId="24C30E6F" w14:textId="77777777" w:rsidR="00B4305F" w:rsidRPr="00B05CEA" w:rsidRDefault="00B4305F" w:rsidP="00B4305F">
      <w:pPr>
        <w:rPr>
          <w:rFonts w:asciiTheme="minorHAnsi" w:hAnsiTheme="minorHAnsi" w:cstheme="minorHAnsi"/>
          <w:b/>
          <w:bCs/>
          <w:i/>
          <w:iCs/>
        </w:rPr>
      </w:pPr>
      <w:r w:rsidRPr="00B05CEA">
        <w:rPr>
          <w:rFonts w:asciiTheme="minorHAnsi" w:hAnsiTheme="minorHAnsi" w:cstheme="minorHAnsi"/>
          <w:b/>
          <w:bCs/>
          <w:i/>
          <w:iCs/>
        </w:rPr>
        <w:t>Index Creation</w:t>
      </w:r>
    </w:p>
    <w:p w14:paraId="6A0D87D2" w14:textId="59CD6680" w:rsidR="00B4305F" w:rsidRPr="00F94935" w:rsidRDefault="00B4305F" w:rsidP="00B4305F">
      <w:pPr>
        <w:rPr>
          <w:rFonts w:asciiTheme="minorHAnsi" w:hAnsiTheme="minorHAnsi" w:cstheme="minorHAnsi"/>
        </w:rPr>
      </w:pPr>
      <w:r w:rsidRPr="00F94935">
        <w:rPr>
          <w:rFonts w:asciiTheme="minorHAnsi" w:hAnsiTheme="minorHAnsi" w:cstheme="minorHAnsi"/>
        </w:rPr>
        <w:t xml:space="preserve">To allow index creation at the CSB level, the z-scores for the ZCTA-level indicators were aggregated to the CSB level via population weighted averaging. To predict the </w:t>
      </w:r>
      <w:r w:rsidR="009917B6">
        <w:rPr>
          <w:rFonts w:asciiTheme="minorHAnsi" w:hAnsiTheme="minorHAnsi" w:cstheme="minorHAnsi"/>
        </w:rPr>
        <w:t xml:space="preserve">rate of SED, SMI, SUD, and MULTI </w:t>
      </w:r>
      <w:r w:rsidRPr="00F94935">
        <w:rPr>
          <w:rFonts w:asciiTheme="minorHAnsi" w:hAnsiTheme="minorHAnsi" w:cstheme="minorHAnsi"/>
        </w:rPr>
        <w:t xml:space="preserve">for each CSB, these standardized CSB level indicators were multiplied by the respective standardized </w:t>
      </w:r>
      <m:oMath>
        <m:sSub>
          <m:sSubPr>
            <m:ctrlPr>
              <w:rPr>
                <w:rFonts w:ascii="Cambria Math" w:eastAsiaTheme="minorEastAsia" w:hAnsi="Cambria Math" w:cstheme="minorHAnsi"/>
                <w:i/>
              </w:rPr>
            </m:ctrlPr>
          </m:sSubPr>
          <m:e>
            <m:r>
              <w:rPr>
                <w:rFonts w:ascii="Cambria Math" w:eastAsiaTheme="minorEastAsia" w:hAnsi="Cambria Math" w:cstheme="minorHAnsi"/>
              </w:rPr>
              <m:t>w</m:t>
            </m:r>
          </m:e>
          <m:sub>
            <m:r>
              <w:rPr>
                <w:rFonts w:ascii="Cambria Math" w:eastAsiaTheme="minorEastAsia" w:hAnsi="Cambria Math" w:cstheme="minorHAnsi"/>
              </w:rPr>
              <m:t>j</m:t>
            </m:r>
          </m:sub>
        </m:sSub>
      </m:oMath>
      <w:r w:rsidRPr="00F94935">
        <w:rPr>
          <w:rFonts w:asciiTheme="minorHAnsi" w:hAnsiTheme="minorHAnsi" w:cstheme="minorHAnsi"/>
        </w:rPr>
        <w:t xml:space="preserve"> obtained from the ZCTA-level analysis and summed across indicators:</w:t>
      </w:r>
    </w:p>
    <w:p w14:paraId="1253DD27" w14:textId="77777777" w:rsidR="00B4305F" w:rsidRPr="00F94935" w:rsidRDefault="00B4305F" w:rsidP="00B4305F">
      <w:pPr>
        <w:rPr>
          <w:rFonts w:asciiTheme="minorHAnsi" w:hAnsiTheme="minorHAnsi" w:cstheme="minorHAnsi"/>
        </w:rPr>
      </w:pPr>
    </w:p>
    <w:p w14:paraId="3657D445" w14:textId="77777777" w:rsidR="00B4305F" w:rsidRPr="00F94935" w:rsidRDefault="009917B6" w:rsidP="00B4305F">
      <w:pPr>
        <w:jc w:val="center"/>
        <w:rPr>
          <w:rFonts w:asciiTheme="minorHAnsi" w:eastAsiaTheme="minorEastAsia" w:hAnsiTheme="minorHAnsi" w:cstheme="minorHAnsi"/>
        </w:rPr>
      </w:pPr>
      <m:oMathPara>
        <m:oMath>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Y</m:t>
                  </m:r>
                </m:e>
              </m:acc>
            </m:e>
            <m:sub>
              <m:r>
                <w:rPr>
                  <w:rFonts w:ascii="Cambria Math" w:hAnsi="Cambria Math" w:cstheme="minorHAnsi"/>
                </w:rPr>
                <m:t>h,CSB</m:t>
              </m:r>
            </m:sub>
          </m:sSub>
          <m:r>
            <w:rPr>
              <w:rFonts w:ascii="Cambria Math" w:hAnsi="Cambria Math" w:cstheme="minorHAnsi"/>
            </w:rPr>
            <m:t>=</m:t>
          </m:r>
          <m:nary>
            <m:naryPr>
              <m:chr m:val="∑"/>
              <m:limLoc m:val="subSup"/>
              <m:ctrlPr>
                <w:rPr>
                  <w:rFonts w:ascii="Cambria Math" w:hAnsi="Cambria Math" w:cstheme="minorHAnsi"/>
                  <w:i/>
                </w:rPr>
              </m:ctrlPr>
            </m:naryPr>
            <m:sub>
              <m:r>
                <w:rPr>
                  <w:rFonts w:ascii="Cambria Math" w:hAnsi="Cambria Math" w:cstheme="minorHAnsi"/>
                </w:rPr>
                <m:t>j=1</m:t>
              </m:r>
            </m:sub>
            <m:sup>
              <m:r>
                <w:rPr>
                  <w:rFonts w:ascii="Cambria Math" w:hAnsi="Cambria Math" w:cstheme="minorHAnsi"/>
                </w:rPr>
                <m:t>25</m:t>
              </m:r>
            </m:sup>
            <m:e>
              <m:sSub>
                <m:sSubPr>
                  <m:ctrlPr>
                    <w:rPr>
                      <w:rFonts w:ascii="Cambria Math" w:hAnsi="Cambria Math" w:cstheme="minorHAnsi"/>
                      <w:i/>
                    </w:rPr>
                  </m:ctrlPr>
                </m:sSubPr>
                <m:e>
                  <m:r>
                    <w:rPr>
                      <w:rFonts w:ascii="Cambria Math" w:hAnsi="Cambria Math" w:cstheme="minorHAnsi"/>
                    </w:rPr>
                    <m:t>w</m:t>
                  </m:r>
                </m:e>
                <m:sub>
                  <m:r>
                    <w:rPr>
                      <w:rFonts w:ascii="Cambria Math" w:hAnsi="Cambria Math" w:cstheme="minorHAnsi"/>
                    </w:rPr>
                    <m:t>j</m:t>
                  </m:r>
                </m:sub>
              </m:sSub>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jh</m:t>
                  </m:r>
                </m:sub>
              </m:sSub>
            </m:e>
          </m:nary>
          <m:r>
            <w:rPr>
              <w:rFonts w:ascii="Cambria Math" w:hAnsi="Cambria Math" w:cstheme="minorHAnsi"/>
            </w:rPr>
            <m:t>, h</m:t>
          </m:r>
          <m:r>
            <w:rPr>
              <w:rFonts w:ascii="Cambria Math" w:eastAsiaTheme="minorEastAsia" w:hAnsi="Cambria Math" w:cstheme="minorHAnsi"/>
            </w:rPr>
            <m:t>=1, 2, …, H,</m:t>
          </m:r>
        </m:oMath>
      </m:oMathPara>
    </w:p>
    <w:p w14:paraId="62773042" w14:textId="77777777" w:rsidR="00B4305F" w:rsidRDefault="00B4305F" w:rsidP="00B4305F">
      <w:pPr>
        <w:rPr>
          <w:rFonts w:asciiTheme="minorHAnsi" w:eastAsiaTheme="minorEastAsia" w:hAnsiTheme="minorHAnsi" w:cstheme="minorHAnsi"/>
        </w:rPr>
      </w:pPr>
    </w:p>
    <w:p w14:paraId="75E6EA3A" w14:textId="490D3C86" w:rsidR="00B4305F" w:rsidRDefault="00B4305F" w:rsidP="00B4305F">
      <w:pPr>
        <w:rPr>
          <w:rFonts w:asciiTheme="minorHAnsi" w:hAnsiTheme="minorHAnsi" w:cstheme="minorHAnsi"/>
        </w:rPr>
      </w:pPr>
      <w:r w:rsidRPr="00F94935">
        <w:rPr>
          <w:rFonts w:asciiTheme="minorHAnsi" w:eastAsiaTheme="minorEastAsia" w:hAnsiTheme="minorHAnsi" w:cstheme="minorHAnsi"/>
        </w:rPr>
        <w:t xml:space="preserve">where H is the number of CSBs, and </w:t>
      </w:r>
      <m:oMath>
        <m:sSub>
          <m:sSubPr>
            <m:ctrlPr>
              <w:rPr>
                <w:rFonts w:ascii="Cambria Math" w:hAnsi="Cambria Math" w:cstheme="minorHAnsi"/>
                <w:i/>
              </w:rPr>
            </m:ctrlPr>
          </m:sSubPr>
          <m:e>
            <m:r>
              <w:rPr>
                <w:rFonts w:ascii="Cambria Math" w:hAnsi="Cambria Math" w:cstheme="minorHAnsi"/>
              </w:rPr>
              <m:t>Z</m:t>
            </m:r>
          </m:e>
          <m:sub>
            <m:r>
              <w:rPr>
                <w:rFonts w:ascii="Cambria Math" w:hAnsi="Cambria Math" w:cstheme="minorHAnsi"/>
              </w:rPr>
              <m:t>jh</m:t>
            </m:r>
          </m:sub>
        </m:sSub>
      </m:oMath>
      <w:r w:rsidRPr="00F94935">
        <w:rPr>
          <w:rFonts w:asciiTheme="minorHAnsi" w:eastAsiaTheme="minorEastAsia" w:hAnsiTheme="minorHAnsi" w:cstheme="minorHAnsi"/>
        </w:rPr>
        <w:t xml:space="preserve"> is the aggregated z-score for the j</w:t>
      </w:r>
      <w:r w:rsidRPr="004C2EF1">
        <w:rPr>
          <w:rFonts w:asciiTheme="minorHAnsi" w:eastAsiaTheme="minorEastAsia" w:hAnsiTheme="minorHAnsi" w:cstheme="minorHAnsi"/>
          <w:vertAlign w:val="superscript"/>
        </w:rPr>
        <w:t>th</w:t>
      </w:r>
      <w:r w:rsidRPr="00F94935">
        <w:rPr>
          <w:rFonts w:asciiTheme="minorHAnsi" w:eastAsiaTheme="minorEastAsia" w:hAnsiTheme="minorHAnsi" w:cstheme="minorHAnsi"/>
        </w:rPr>
        <w:t xml:space="preserve"> indicator in the </w:t>
      </w:r>
      <w:proofErr w:type="spellStart"/>
      <w:r w:rsidRPr="00F94935">
        <w:rPr>
          <w:rFonts w:asciiTheme="minorHAnsi" w:eastAsiaTheme="minorEastAsia" w:hAnsiTheme="minorHAnsi" w:cstheme="minorHAnsi"/>
        </w:rPr>
        <w:t>h</w:t>
      </w:r>
      <w:r w:rsidRPr="004C2EF1">
        <w:rPr>
          <w:rFonts w:asciiTheme="minorHAnsi" w:eastAsiaTheme="minorEastAsia" w:hAnsiTheme="minorHAnsi" w:cstheme="minorHAnsi"/>
          <w:vertAlign w:val="superscript"/>
        </w:rPr>
        <w:t>th</w:t>
      </w:r>
      <w:proofErr w:type="spellEnd"/>
      <w:r w:rsidRPr="00F94935">
        <w:rPr>
          <w:rFonts w:asciiTheme="minorHAnsi" w:eastAsiaTheme="minorEastAsia" w:hAnsiTheme="minorHAnsi" w:cstheme="minorHAnsi"/>
        </w:rPr>
        <w:t xml:space="preserve"> CSB. These calculated values </w:t>
      </w:r>
      <w:r w:rsidRPr="00F94935">
        <w:rPr>
          <w:rFonts w:asciiTheme="minorHAnsi" w:hAnsiTheme="minorHAnsi" w:cstheme="minorHAnsi"/>
        </w:rPr>
        <w:t>were then converted into the Behavioral Health Index (BHI) by first transforming the predicted value for each CSB to fall within a range of 0</w:t>
      </w:r>
      <w:r w:rsidR="00F10B3A">
        <w:rPr>
          <w:rFonts w:asciiTheme="minorHAnsi" w:hAnsiTheme="minorHAnsi" w:cstheme="minorHAnsi"/>
        </w:rPr>
        <w:t xml:space="preserve"> (worst) to </w:t>
      </w:r>
      <w:r w:rsidRPr="00F94935">
        <w:rPr>
          <w:rFonts w:asciiTheme="minorHAnsi" w:hAnsiTheme="minorHAnsi" w:cstheme="minorHAnsi"/>
        </w:rPr>
        <w:t>100</w:t>
      </w:r>
      <w:r w:rsidR="00F10B3A">
        <w:rPr>
          <w:rFonts w:asciiTheme="minorHAnsi" w:hAnsiTheme="minorHAnsi" w:cstheme="minorHAnsi"/>
        </w:rPr>
        <w:t xml:space="preserve"> (best)</w:t>
      </w:r>
      <w:r w:rsidRPr="00F94935">
        <w:rPr>
          <w:rFonts w:asciiTheme="minorHAnsi" w:hAnsiTheme="minorHAnsi" w:cstheme="minorHAnsi"/>
        </w:rPr>
        <w:t>:</w:t>
      </w:r>
      <w:r>
        <w:rPr>
          <w:rFonts w:asciiTheme="minorHAnsi" w:hAnsiTheme="minorHAnsi" w:cstheme="minorHAnsi"/>
        </w:rPr>
        <w:t xml:space="preserve"> </w:t>
      </w:r>
    </w:p>
    <w:p w14:paraId="7E997CC4" w14:textId="3ACD6D4D" w:rsidR="00B4305F" w:rsidRPr="00F94935" w:rsidRDefault="00B4305F" w:rsidP="00B4305F">
      <w:pPr>
        <w:rPr>
          <w:rFonts w:asciiTheme="minorHAnsi" w:eastAsiaTheme="minorEastAsia" w:hAnsiTheme="minorHAnsi" w:cstheme="minorHAnsi"/>
        </w:rPr>
      </w:pPr>
      <m:oMathPara>
        <m:oMath>
          <m:r>
            <m:rPr>
              <m:sty m:val="p"/>
            </m:rPr>
            <w:rPr>
              <w:rFonts w:ascii="Cambria Math" w:hAnsi="Cambria Math" w:cstheme="minorHAnsi"/>
            </w:rPr>
            <w:br/>
          </m:r>
        </m:oMath>
        <m:oMath>
          <m:r>
            <w:rPr>
              <w:rFonts w:ascii="Cambria Math" w:hAnsi="Cambria Math" w:cstheme="minorHAnsi"/>
            </w:rPr>
            <m:t>BH</m:t>
          </m:r>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h</m:t>
              </m:r>
            </m:sub>
          </m:sSub>
          <m:r>
            <w:rPr>
              <w:rFonts w:ascii="Cambria Math" w:hAnsi="Cambria Math" w:cstheme="minorHAnsi"/>
            </w:rPr>
            <m:t>=100×</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Y</m:t>
                          </m:r>
                        </m:e>
                      </m:acc>
                    </m:e>
                    <m:sub>
                      <m:r>
                        <w:rPr>
                          <w:rFonts w:ascii="Cambria Math" w:hAnsi="Cambria Math" w:cstheme="minorHAnsi"/>
                        </w:rPr>
                        <m:t>h,CSB</m:t>
                      </m:r>
                    </m:sub>
                  </m:sSub>
                  <m:r>
                    <w:rPr>
                      <w:rFonts w:ascii="Cambria Math" w:hAnsi="Cambria Math" w:cstheme="minorHAnsi"/>
                    </w:rPr>
                    <m:t>-</m:t>
                  </m:r>
                  <m:func>
                    <m:funcPr>
                      <m:ctrlPr>
                        <w:rPr>
                          <w:rFonts w:ascii="Cambria Math" w:hAnsi="Cambria Math" w:cstheme="minorHAnsi"/>
                        </w:rPr>
                      </m:ctrlPr>
                    </m:funcPr>
                    <m:fName>
                      <m:r>
                        <m:rPr>
                          <m:sty m:val="p"/>
                        </m:rPr>
                        <w:rPr>
                          <w:rFonts w:ascii="Cambria Math" w:hAnsi="Cambria Math" w:cstheme="minorHAnsi"/>
                        </w:rPr>
                        <m:t>min</m:t>
                      </m:r>
                      <m:ctrlPr>
                        <w:rPr>
                          <w:rFonts w:ascii="Cambria Math" w:hAnsi="Cambria Math" w:cstheme="minorHAnsi"/>
                          <w:i/>
                        </w:rPr>
                      </m:ctrlPr>
                    </m:fName>
                    <m:e>
                      <m:d>
                        <m:dPr>
                          <m:ctrlPr>
                            <w:rPr>
                              <w:rFonts w:ascii="Cambria Math" w:hAnsi="Cambria Math" w:cstheme="minorHAnsi"/>
                              <w:i/>
                            </w:rPr>
                          </m:ctrlPr>
                        </m:d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Y</m:t>
                                  </m:r>
                                </m:e>
                              </m:acc>
                            </m:e>
                            <m:sub>
                              <m:r>
                                <w:rPr>
                                  <w:rFonts w:ascii="Cambria Math" w:hAnsi="Cambria Math" w:cstheme="minorHAnsi"/>
                                </w:rPr>
                                <m:t>CSB</m:t>
                              </m:r>
                            </m:sub>
                          </m:sSub>
                        </m:e>
                      </m:d>
                    </m:e>
                  </m:func>
                </m:num>
                <m:den>
                  <m:func>
                    <m:funcPr>
                      <m:ctrlPr>
                        <w:rPr>
                          <w:rFonts w:ascii="Cambria Math" w:hAnsi="Cambria Math" w:cstheme="minorHAnsi"/>
                        </w:rPr>
                      </m:ctrlPr>
                    </m:funcPr>
                    <m:fName>
                      <m:r>
                        <m:rPr>
                          <m:sty m:val="p"/>
                        </m:rPr>
                        <w:rPr>
                          <w:rFonts w:ascii="Cambria Math" w:hAnsi="Cambria Math" w:cstheme="minorHAnsi"/>
                        </w:rPr>
                        <m:t>max</m:t>
                      </m:r>
                    </m:fName>
                    <m:e>
                      <m:d>
                        <m:dPr>
                          <m:ctrlPr>
                            <w:rPr>
                              <w:rFonts w:ascii="Cambria Math" w:hAnsi="Cambria Math" w:cstheme="minorHAnsi"/>
                              <w:i/>
                            </w:rPr>
                          </m:ctrlPr>
                        </m:d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Y</m:t>
                                  </m:r>
                                </m:e>
                              </m:acc>
                            </m:e>
                            <m:sub>
                              <m:r>
                                <w:rPr>
                                  <w:rFonts w:ascii="Cambria Math" w:hAnsi="Cambria Math" w:cstheme="minorHAnsi"/>
                                </w:rPr>
                                <m:t>CSB</m:t>
                              </m:r>
                            </m:sub>
                          </m:sSub>
                        </m:e>
                      </m:d>
                    </m:e>
                  </m:func>
                  <m:r>
                    <m:rPr>
                      <m:sty m:val="p"/>
                    </m:rPr>
                    <w:rPr>
                      <w:rFonts w:ascii="Cambria Math" w:hAnsi="Cambria Math" w:cstheme="minorHAnsi"/>
                    </w:rPr>
                    <m:t>-</m:t>
                  </m:r>
                  <m:func>
                    <m:funcPr>
                      <m:ctrlPr>
                        <w:rPr>
                          <w:rFonts w:ascii="Cambria Math" w:hAnsi="Cambria Math" w:cstheme="minorHAnsi"/>
                        </w:rPr>
                      </m:ctrlPr>
                    </m:funcPr>
                    <m:fName>
                      <m:r>
                        <m:rPr>
                          <m:sty m:val="p"/>
                        </m:rPr>
                        <w:rPr>
                          <w:rFonts w:ascii="Cambria Math" w:hAnsi="Cambria Math" w:cstheme="minorHAnsi"/>
                        </w:rPr>
                        <m:t>min</m:t>
                      </m:r>
                    </m:fName>
                    <m:e>
                      <m:d>
                        <m:dPr>
                          <m:ctrlPr>
                            <w:rPr>
                              <w:rFonts w:ascii="Cambria Math" w:hAnsi="Cambria Math" w:cstheme="minorHAnsi"/>
                              <w:i/>
                            </w:rPr>
                          </m:ctrlPr>
                        </m:dPr>
                        <m:e>
                          <m:sSub>
                            <m:sSubPr>
                              <m:ctrlPr>
                                <w:rPr>
                                  <w:rFonts w:ascii="Cambria Math" w:hAnsi="Cambria Math" w:cstheme="minorHAnsi"/>
                                  <w:i/>
                                </w:rPr>
                              </m:ctrlPr>
                            </m:sSubPr>
                            <m:e>
                              <m:acc>
                                <m:accPr>
                                  <m:ctrlPr>
                                    <w:rPr>
                                      <w:rFonts w:ascii="Cambria Math" w:hAnsi="Cambria Math" w:cstheme="minorHAnsi"/>
                                      <w:i/>
                                    </w:rPr>
                                  </m:ctrlPr>
                                </m:accPr>
                                <m:e>
                                  <m:r>
                                    <w:rPr>
                                      <w:rFonts w:ascii="Cambria Math" w:hAnsi="Cambria Math" w:cstheme="minorHAnsi"/>
                                    </w:rPr>
                                    <m:t>Y</m:t>
                                  </m:r>
                                </m:e>
                              </m:acc>
                            </m:e>
                            <m:sub>
                              <m:r>
                                <w:rPr>
                                  <w:rFonts w:ascii="Cambria Math" w:hAnsi="Cambria Math" w:cstheme="minorHAnsi"/>
                                </w:rPr>
                                <m:t>CSB</m:t>
                              </m:r>
                            </m:sub>
                          </m:sSub>
                        </m:e>
                      </m:d>
                    </m:e>
                  </m:func>
                </m:den>
              </m:f>
            </m:e>
          </m:d>
        </m:oMath>
      </m:oMathPara>
    </w:p>
    <w:p w14:paraId="61545872" w14:textId="77777777" w:rsidR="00B4305F" w:rsidRPr="00B05CEA" w:rsidRDefault="00B4305F" w:rsidP="00B4305F">
      <w:pPr>
        <w:rPr>
          <w:rFonts w:asciiTheme="minorHAnsi" w:hAnsiTheme="minorHAnsi" w:cstheme="minorHAnsi"/>
        </w:rPr>
      </w:pPr>
      <m:oMathPara>
        <m:oMath>
          <m:r>
            <w:rPr>
              <w:rFonts w:ascii="Cambria Math" w:eastAsiaTheme="minorEastAsia" w:hAnsi="Cambria Math" w:cstheme="minorHAnsi"/>
            </w:rPr>
            <m:t>h=1, 2, …, H (number of CSBs)</m:t>
          </m:r>
        </m:oMath>
      </m:oMathPara>
    </w:p>
    <w:p w14:paraId="7BD20752" w14:textId="77777777" w:rsidR="00B4305F" w:rsidRPr="00F94935" w:rsidRDefault="00B4305F" w:rsidP="00B4305F">
      <w:pPr>
        <w:rPr>
          <w:rFonts w:asciiTheme="minorHAnsi" w:hAnsiTheme="minorHAnsi" w:cstheme="minorHAnsi"/>
        </w:rPr>
      </w:pPr>
    </w:p>
    <w:p w14:paraId="4503C111" w14:textId="0B1EC663" w:rsidR="00802F32" w:rsidRDefault="00F10B3A" w:rsidP="00B2778D">
      <w:pPr>
        <w:rPr>
          <w:rFonts w:asciiTheme="minorHAnsi" w:hAnsiTheme="minorHAnsi" w:cstheme="minorHAnsi"/>
        </w:rPr>
        <w:sectPr w:rsidR="00802F32" w:rsidSect="00802F32">
          <w:footerReference w:type="default" r:id="rId10"/>
          <w:pgSz w:w="12240" w:h="15840" w:code="1"/>
          <w:pgMar w:top="1440" w:right="1440" w:bottom="1440" w:left="1440" w:header="720" w:footer="576" w:gutter="0"/>
          <w:pgNumType w:start="1"/>
          <w:cols w:space="720"/>
          <w:docGrid w:linePitch="360"/>
        </w:sectPr>
      </w:pPr>
      <w:r>
        <w:rPr>
          <w:rFonts w:asciiTheme="minorHAnsi" w:hAnsiTheme="minorHAnsi" w:cstheme="minorHAnsi"/>
        </w:rPr>
        <w:t xml:space="preserve">CSBs with higher BHI scores have better place-based conditions for a given outcome relative to those with lower BHI scores. </w:t>
      </w:r>
      <w:r w:rsidR="00B4305F" w:rsidRPr="00F94935">
        <w:rPr>
          <w:rFonts w:asciiTheme="minorHAnsi" w:hAnsiTheme="minorHAnsi" w:cstheme="minorHAnsi"/>
        </w:rPr>
        <w:t xml:space="preserve">The </w:t>
      </w:r>
      <w:r w:rsidR="00F55411">
        <w:rPr>
          <w:rFonts w:asciiTheme="minorHAnsi" w:hAnsiTheme="minorHAnsi" w:cstheme="minorHAnsi"/>
        </w:rPr>
        <w:t xml:space="preserve">final </w:t>
      </w:r>
      <w:r w:rsidR="00B4305F" w:rsidRPr="00F94935">
        <w:rPr>
          <w:rFonts w:asciiTheme="minorHAnsi" w:hAnsiTheme="minorHAnsi" w:cstheme="minorHAnsi"/>
        </w:rPr>
        <w:t xml:space="preserve">BHI </w:t>
      </w:r>
      <w:r>
        <w:rPr>
          <w:rFonts w:asciiTheme="minorHAnsi" w:hAnsiTheme="minorHAnsi" w:cstheme="minorHAnsi"/>
        </w:rPr>
        <w:t xml:space="preserve">scores </w:t>
      </w:r>
      <w:r w:rsidR="00B4305F" w:rsidRPr="00F94935">
        <w:rPr>
          <w:rFonts w:asciiTheme="minorHAnsi" w:hAnsiTheme="minorHAnsi" w:cstheme="minorHAnsi"/>
        </w:rPr>
        <w:t xml:space="preserve">for each outcome </w:t>
      </w:r>
      <w:r w:rsidR="00F55411">
        <w:rPr>
          <w:rFonts w:asciiTheme="minorHAnsi" w:hAnsiTheme="minorHAnsi" w:cstheme="minorHAnsi"/>
        </w:rPr>
        <w:t xml:space="preserve">(SED, SMI, SUD, and MULTI) </w:t>
      </w:r>
      <w:r w:rsidR="00B4305F" w:rsidRPr="00F94935">
        <w:rPr>
          <w:rFonts w:asciiTheme="minorHAnsi" w:hAnsiTheme="minorHAnsi" w:cstheme="minorHAnsi"/>
        </w:rPr>
        <w:t xml:space="preserve">are presented in Table </w:t>
      </w:r>
      <w:r w:rsidR="00F55411">
        <w:rPr>
          <w:rFonts w:asciiTheme="minorHAnsi" w:hAnsiTheme="minorHAnsi" w:cstheme="minorHAnsi"/>
        </w:rPr>
        <w:t>4</w:t>
      </w:r>
      <w:r w:rsidR="00B4305F" w:rsidRPr="00F94935">
        <w:rPr>
          <w:rFonts w:asciiTheme="minorHAnsi" w:hAnsiTheme="minorHAnsi" w:cstheme="minorHAnsi"/>
        </w:rPr>
        <w:t>.</w:t>
      </w:r>
      <w:r>
        <w:rPr>
          <w:rFonts w:asciiTheme="minorHAnsi" w:hAnsiTheme="minorHAnsi" w:cstheme="minorHAnsi"/>
        </w:rPr>
        <w:t xml:space="preserve"> </w:t>
      </w:r>
    </w:p>
    <w:p w14:paraId="0AB29707" w14:textId="69F6199F" w:rsidR="00594AA6" w:rsidRPr="00FF2809" w:rsidRDefault="007F622A" w:rsidP="00A206A3">
      <w:pPr>
        <w:rPr>
          <w:rFonts w:asciiTheme="minorHAnsi" w:hAnsiTheme="minorHAnsi" w:cstheme="minorHAnsi"/>
          <w:i/>
          <w:iCs/>
        </w:rPr>
      </w:pPr>
      <w:r w:rsidRPr="00FF2809">
        <w:rPr>
          <w:rFonts w:asciiTheme="minorHAnsi" w:hAnsiTheme="minorHAnsi" w:cstheme="minorHAnsi"/>
          <w:b/>
          <w:bCs/>
          <w:i/>
          <w:iCs/>
        </w:rPr>
        <w:t xml:space="preserve">Table </w:t>
      </w:r>
      <w:r w:rsidR="00BA51A1" w:rsidRPr="00FF2809">
        <w:rPr>
          <w:rFonts w:asciiTheme="minorHAnsi" w:hAnsiTheme="minorHAnsi" w:cstheme="minorHAnsi"/>
          <w:b/>
          <w:bCs/>
          <w:i/>
          <w:iCs/>
        </w:rPr>
        <w:t>1</w:t>
      </w:r>
      <w:r w:rsidRPr="00FF2809">
        <w:rPr>
          <w:rFonts w:asciiTheme="minorHAnsi" w:hAnsiTheme="minorHAnsi" w:cstheme="minorHAnsi"/>
          <w:b/>
          <w:bCs/>
          <w:i/>
          <w:iCs/>
        </w:rPr>
        <w:t>.</w:t>
      </w:r>
      <w:r w:rsidRPr="00FF2809">
        <w:rPr>
          <w:rFonts w:asciiTheme="minorHAnsi" w:hAnsiTheme="minorHAnsi" w:cstheme="minorHAnsi"/>
          <w:i/>
          <w:iCs/>
        </w:rPr>
        <w:t xml:space="preserve"> </w:t>
      </w:r>
      <w:r w:rsidR="00BA51A1" w:rsidRPr="00FF2809">
        <w:rPr>
          <w:rFonts w:asciiTheme="minorHAnsi" w:hAnsiTheme="minorHAnsi" w:cstheme="minorHAnsi"/>
          <w:i/>
          <w:iCs/>
        </w:rPr>
        <w:t xml:space="preserve">Bivariate </w:t>
      </w:r>
      <w:r w:rsidR="00FF2809" w:rsidRPr="00FF2809">
        <w:rPr>
          <w:rFonts w:asciiTheme="minorHAnsi" w:hAnsiTheme="minorHAnsi" w:cstheme="minorHAnsi"/>
          <w:i/>
          <w:iCs/>
        </w:rPr>
        <w:t>correlations</w:t>
      </w:r>
      <w:r w:rsidR="00BA51A1" w:rsidRPr="00FF2809">
        <w:rPr>
          <w:rFonts w:asciiTheme="minorHAnsi" w:hAnsiTheme="minorHAnsi" w:cstheme="minorHAnsi"/>
          <w:i/>
          <w:iCs/>
        </w:rPr>
        <w:t xml:space="preserve"> between </w:t>
      </w:r>
      <w:r w:rsidR="00112D44">
        <w:rPr>
          <w:rFonts w:asciiTheme="minorHAnsi" w:hAnsiTheme="minorHAnsi" w:cstheme="minorHAnsi"/>
          <w:i/>
          <w:iCs/>
        </w:rPr>
        <w:t>and Behavioral Health Index (BHI) indicators</w:t>
      </w:r>
      <w:r w:rsidR="00BA51A1" w:rsidRPr="00FF2809">
        <w:rPr>
          <w:rFonts w:asciiTheme="minorHAnsi" w:hAnsiTheme="minorHAnsi" w:cstheme="minorHAnsi"/>
          <w:i/>
          <w:iCs/>
        </w:rPr>
        <w:t xml:space="preserve"> and outcomes</w:t>
      </w:r>
      <w:r w:rsidR="00F10B3A">
        <w:rPr>
          <w:rFonts w:asciiTheme="minorHAnsi" w:hAnsiTheme="minorHAnsi" w:cstheme="minorHAnsi"/>
          <w:i/>
          <w:iCs/>
        </w:rPr>
        <w:t>.</w:t>
      </w:r>
    </w:p>
    <w:tbl>
      <w:tblPr>
        <w:tblW w:w="8996" w:type="dxa"/>
        <w:tblLayout w:type="fixed"/>
        <w:tblLook w:val="04A0" w:firstRow="1" w:lastRow="0" w:firstColumn="1" w:lastColumn="0" w:noHBand="0" w:noVBand="1"/>
      </w:tblPr>
      <w:tblGrid>
        <w:gridCol w:w="5580"/>
        <w:gridCol w:w="810"/>
        <w:gridCol w:w="900"/>
        <w:gridCol w:w="783"/>
        <w:gridCol w:w="923"/>
      </w:tblGrid>
      <w:tr w:rsidR="00BA51A1" w:rsidRPr="006611F0" w14:paraId="327A8C1C" w14:textId="77777777" w:rsidTr="009F7868">
        <w:trPr>
          <w:trHeight w:val="600"/>
        </w:trPr>
        <w:tc>
          <w:tcPr>
            <w:tcW w:w="55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E016AD" w14:textId="448C3187" w:rsidR="006611F0" w:rsidRPr="006611F0" w:rsidRDefault="006611F0" w:rsidP="009F7868">
            <w:pPr>
              <w:jc w:val="center"/>
              <w:rPr>
                <w:rFonts w:ascii="Calibri" w:hAnsi="Calibri"/>
                <w:b/>
                <w:bCs/>
                <w:color w:val="000000"/>
                <w:sz w:val="22"/>
                <w:szCs w:val="22"/>
                <w:lang w:eastAsia="en-US"/>
              </w:rPr>
            </w:pPr>
            <w:r w:rsidRPr="006611F0">
              <w:rPr>
                <w:rFonts w:ascii="Calibri" w:hAnsi="Calibri"/>
                <w:b/>
                <w:bCs/>
                <w:color w:val="000000"/>
                <w:sz w:val="22"/>
                <w:szCs w:val="22"/>
                <w:lang w:eastAsia="en-US"/>
              </w:rPr>
              <w:t>Indicator</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D2DACB" w14:textId="064395D3" w:rsidR="006611F0" w:rsidRPr="006611F0" w:rsidRDefault="006611F0" w:rsidP="009F7868">
            <w:pPr>
              <w:jc w:val="center"/>
              <w:rPr>
                <w:rFonts w:ascii="Calibri" w:hAnsi="Calibri"/>
                <w:b/>
                <w:bCs/>
                <w:color w:val="000000"/>
                <w:sz w:val="22"/>
                <w:szCs w:val="22"/>
                <w:lang w:eastAsia="en-US"/>
              </w:rPr>
            </w:pPr>
            <w:r w:rsidRPr="006611F0">
              <w:rPr>
                <w:rFonts w:ascii="Calibri" w:hAnsi="Calibri"/>
                <w:b/>
                <w:bCs/>
                <w:color w:val="000000"/>
                <w:sz w:val="22"/>
                <w:szCs w:val="22"/>
                <w:lang w:eastAsia="en-US"/>
              </w:rPr>
              <w:t>SED</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205F9D" w14:textId="69D77200" w:rsidR="006611F0" w:rsidRPr="006611F0" w:rsidRDefault="006611F0" w:rsidP="009F7868">
            <w:pPr>
              <w:jc w:val="center"/>
              <w:rPr>
                <w:rFonts w:ascii="Calibri" w:hAnsi="Calibri"/>
                <w:b/>
                <w:bCs/>
                <w:color w:val="000000"/>
                <w:sz w:val="22"/>
                <w:szCs w:val="22"/>
                <w:lang w:eastAsia="en-US"/>
              </w:rPr>
            </w:pPr>
            <w:r w:rsidRPr="006611F0">
              <w:rPr>
                <w:rFonts w:ascii="Calibri" w:hAnsi="Calibri"/>
                <w:b/>
                <w:bCs/>
                <w:color w:val="000000"/>
                <w:sz w:val="22"/>
                <w:szCs w:val="22"/>
                <w:lang w:eastAsia="en-US"/>
              </w:rPr>
              <w:t>SMI</w:t>
            </w:r>
          </w:p>
        </w:tc>
        <w:tc>
          <w:tcPr>
            <w:tcW w:w="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00B08C" w14:textId="093D6C9B" w:rsidR="006611F0" w:rsidRPr="006611F0" w:rsidRDefault="006611F0" w:rsidP="009F7868">
            <w:pPr>
              <w:jc w:val="center"/>
              <w:rPr>
                <w:rFonts w:ascii="Calibri" w:hAnsi="Calibri"/>
                <w:b/>
                <w:bCs/>
                <w:color w:val="000000"/>
                <w:sz w:val="22"/>
                <w:szCs w:val="22"/>
                <w:lang w:eastAsia="en-US"/>
              </w:rPr>
            </w:pPr>
            <w:r w:rsidRPr="006611F0">
              <w:rPr>
                <w:rFonts w:ascii="Calibri" w:hAnsi="Calibri"/>
                <w:b/>
                <w:bCs/>
                <w:color w:val="000000"/>
                <w:sz w:val="22"/>
                <w:szCs w:val="22"/>
                <w:lang w:eastAsia="en-US"/>
              </w:rPr>
              <w:t>SUD</w:t>
            </w:r>
          </w:p>
        </w:tc>
        <w:tc>
          <w:tcPr>
            <w:tcW w:w="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81D2A2" w14:textId="78B8AC6A" w:rsidR="006611F0" w:rsidRPr="006611F0" w:rsidRDefault="00BA51A1" w:rsidP="009F7868">
            <w:pPr>
              <w:jc w:val="center"/>
              <w:rPr>
                <w:rFonts w:ascii="Calibri" w:hAnsi="Calibri"/>
                <w:b/>
                <w:bCs/>
                <w:color w:val="000000"/>
                <w:sz w:val="22"/>
                <w:szCs w:val="22"/>
                <w:lang w:eastAsia="en-US"/>
              </w:rPr>
            </w:pPr>
            <w:r>
              <w:rPr>
                <w:rFonts w:ascii="Calibri" w:hAnsi="Calibri"/>
                <w:b/>
                <w:bCs/>
                <w:color w:val="000000"/>
                <w:sz w:val="22"/>
                <w:szCs w:val="22"/>
                <w:lang w:eastAsia="en-US"/>
              </w:rPr>
              <w:t>MULTI</w:t>
            </w:r>
          </w:p>
        </w:tc>
      </w:tr>
      <w:tr w:rsidR="00BA51A1" w:rsidRPr="006611F0" w14:paraId="40F94B66" w14:textId="77777777" w:rsidTr="009F7868">
        <w:trPr>
          <w:trHeight w:val="300"/>
        </w:trPr>
        <w:tc>
          <w:tcPr>
            <w:tcW w:w="558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225DE05F" w14:textId="3C0FB08F"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Median annual household income</w:t>
            </w:r>
          </w:p>
        </w:tc>
        <w:tc>
          <w:tcPr>
            <w:tcW w:w="81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067559F5"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-0.45</w:t>
            </w:r>
          </w:p>
        </w:tc>
        <w:tc>
          <w:tcPr>
            <w:tcW w:w="900"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5F08BD61"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-0.38</w:t>
            </w:r>
          </w:p>
        </w:tc>
        <w:tc>
          <w:tcPr>
            <w:tcW w:w="78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9BC2E6"/>
            <w:noWrap/>
            <w:vAlign w:val="center"/>
            <w:hideMark/>
          </w:tcPr>
          <w:p w14:paraId="6D5626F9"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-0.63</w:t>
            </w:r>
          </w:p>
        </w:tc>
        <w:tc>
          <w:tcPr>
            <w:tcW w:w="923"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1D221E83"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-0.45</w:t>
            </w:r>
          </w:p>
        </w:tc>
      </w:tr>
      <w:tr w:rsidR="00BA51A1" w:rsidRPr="006611F0" w14:paraId="0FA83E95"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36CE70A8" w14:textId="6DA5B886"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Median home value of owner-occupied units</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28C4A663"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-0.37</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1B2FF723"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-0.39</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9BC2E6"/>
            <w:noWrap/>
            <w:vAlign w:val="center"/>
            <w:hideMark/>
          </w:tcPr>
          <w:p w14:paraId="1A28C505"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-0.59</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291B1959"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-0.43</w:t>
            </w:r>
          </w:p>
        </w:tc>
      </w:tr>
      <w:tr w:rsidR="00BA51A1" w:rsidRPr="006611F0" w14:paraId="1C2F7BF4"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31445DF4"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with a high school diploma or higher</w:t>
            </w:r>
          </w:p>
          <w:p w14:paraId="44758609" w14:textId="26D525B2"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xml:space="preserve"> (ages 25yrs and older)</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6BA3F20A"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-0.31</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89639F"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-0.22</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30BF7326"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-0.38</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BB14EF9"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-0.26</w:t>
            </w:r>
          </w:p>
        </w:tc>
      </w:tr>
      <w:tr w:rsidR="00BA51A1" w:rsidRPr="006611F0" w14:paraId="597CC6B5"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43F40722"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xml:space="preserve">% with bachelor's degree or higher </w:t>
            </w:r>
          </w:p>
          <w:p w14:paraId="64B2FCC8" w14:textId="03C2897C"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(ages 25yrs and older)</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19866E3"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-0.30</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EAFF154"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-0.28</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0EC9D559"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-0.45</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700A62CA"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-0.32</w:t>
            </w:r>
          </w:p>
        </w:tc>
      </w:tr>
      <w:tr w:rsidR="00BA51A1" w:rsidRPr="006611F0" w14:paraId="3919CD85"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22DFFA2D" w14:textId="5270D8CB"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xml:space="preserve">% of population 15 </w:t>
            </w:r>
            <w:proofErr w:type="spellStart"/>
            <w:r>
              <w:rPr>
                <w:rFonts w:ascii="Calibri" w:hAnsi="Calibri" w:cs="Calibri"/>
                <w:color w:val="000000"/>
                <w:sz w:val="22"/>
                <w:szCs w:val="22"/>
              </w:rPr>
              <w:t>yrs</w:t>
            </w:r>
            <w:proofErr w:type="spellEnd"/>
            <w:r>
              <w:rPr>
                <w:rFonts w:ascii="Calibri" w:hAnsi="Calibri" w:cs="Calibri"/>
                <w:color w:val="000000"/>
                <w:sz w:val="22"/>
                <w:szCs w:val="22"/>
              </w:rPr>
              <w:t>+ now married (excluding those who are separated)</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8D63D2"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-0.25</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C3B301B"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0.07</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5B133DB"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-0.13</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A1F2D4E"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0.03</w:t>
            </w:r>
          </w:p>
        </w:tc>
      </w:tr>
      <w:tr w:rsidR="00BA51A1" w:rsidRPr="006611F0" w14:paraId="37E2DB01"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2DEE4C65" w14:textId="4A75B79B"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xml:space="preserve">% of workers 16 </w:t>
            </w:r>
            <w:proofErr w:type="spellStart"/>
            <w:r>
              <w:rPr>
                <w:rFonts w:ascii="Calibri" w:hAnsi="Calibri" w:cs="Calibri"/>
                <w:color w:val="000000"/>
                <w:sz w:val="22"/>
                <w:szCs w:val="22"/>
              </w:rPr>
              <w:t>yrs</w:t>
            </w:r>
            <w:proofErr w:type="spellEnd"/>
            <w:r>
              <w:rPr>
                <w:rFonts w:ascii="Calibri" w:hAnsi="Calibri" w:cs="Calibri"/>
                <w:color w:val="000000"/>
                <w:sz w:val="22"/>
                <w:szCs w:val="22"/>
              </w:rPr>
              <w:t xml:space="preserve"> and older who take public transport (bus, train, subway) to work</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9F599CE"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-0.21</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4E1A48E1"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-0.41</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616ABFCB"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-0.39</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574CC9B4"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-0.42</w:t>
            </w:r>
          </w:p>
        </w:tc>
      </w:tr>
      <w:tr w:rsidR="00BA51A1" w:rsidRPr="006611F0" w14:paraId="1550DBBA"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6424EA21"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xml:space="preserve">% of households with more </w:t>
            </w:r>
          </w:p>
          <w:p w14:paraId="14F87C53" w14:textId="7736D804"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than one occupant per room</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BC63028"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-0.15</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1D322442"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-0.31</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7A5B485"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-0.27</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1B0B232B"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-0.32</w:t>
            </w:r>
          </w:p>
        </w:tc>
      </w:tr>
      <w:tr w:rsidR="00BA51A1" w:rsidRPr="006611F0" w14:paraId="5127D5A8"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5A0A1D66" w14:textId="7C0E3EB2"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Average travel time to work (minutes)</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116C00C"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-0.11</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0D27F12"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0.00</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661D943"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-0.19</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2D8C5C5"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-0.02</w:t>
            </w:r>
          </w:p>
        </w:tc>
      </w:tr>
      <w:tr w:rsidR="00BA51A1" w:rsidRPr="006611F0" w14:paraId="55D7BC8C"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003C65A1" w14:textId="54A68921"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of children who are uninsured</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8138291"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-0.09</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F84CD8C"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-0.19</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4CE1FB1"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-0.13</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2A2AD1B"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-0.19</w:t>
            </w:r>
          </w:p>
        </w:tc>
      </w:tr>
      <w:tr w:rsidR="00BA51A1" w:rsidRPr="006611F0" w14:paraId="36C48222"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32A83EEA"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xml:space="preserve">% of workers 16 </w:t>
            </w:r>
            <w:proofErr w:type="spellStart"/>
            <w:r>
              <w:rPr>
                <w:rFonts w:ascii="Calibri" w:hAnsi="Calibri" w:cs="Calibri"/>
                <w:color w:val="000000"/>
                <w:sz w:val="22"/>
                <w:szCs w:val="22"/>
              </w:rPr>
              <w:t>yrs</w:t>
            </w:r>
            <w:proofErr w:type="spellEnd"/>
            <w:r>
              <w:rPr>
                <w:rFonts w:ascii="Calibri" w:hAnsi="Calibri" w:cs="Calibri"/>
                <w:color w:val="000000"/>
                <w:sz w:val="22"/>
                <w:szCs w:val="22"/>
              </w:rPr>
              <w:t xml:space="preserve"> and older </w:t>
            </w:r>
          </w:p>
          <w:p w14:paraId="50693B99" w14:textId="7B827078"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who walk or bike to work</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0203645"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-0.05</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ECEDF2B"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-0.28</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1542FE5"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-0.20</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5BE0B4F"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-0.27</w:t>
            </w:r>
          </w:p>
        </w:tc>
      </w:tr>
      <w:tr w:rsidR="00BA51A1" w:rsidRPr="006611F0" w14:paraId="093C21A7"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21FA72AE"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of households paying more than</w:t>
            </w:r>
          </w:p>
          <w:p w14:paraId="2BC12CAE" w14:textId="200E4AEA" w:rsidR="006611F0"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30% of income on housing</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CDBD499"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-0.03</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877ACB4"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-0.16</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22934ED"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-0.12</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31E06980" w14:textId="77777777" w:rsidR="006611F0" w:rsidRPr="006611F0" w:rsidRDefault="006611F0"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-0.17</w:t>
            </w:r>
          </w:p>
        </w:tc>
      </w:tr>
      <w:tr w:rsidR="00BA51A1" w:rsidRPr="006611F0" w14:paraId="591AED84"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62E3C873" w14:textId="2E0EB597"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of properties with 1 or more poor housing conditions (e.g., no plumbing, no kitchen, overcrowded, cost burdened)</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78DDA3D"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-0.02</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7FA36AA"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-0.17</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5101629"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-0.11</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52F0D37"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-0.17</w:t>
            </w:r>
          </w:p>
        </w:tc>
      </w:tr>
      <w:tr w:rsidR="00BA51A1" w:rsidRPr="006611F0" w14:paraId="108AD1AD"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24C9F3FE"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xml:space="preserve">% of population aged 25-64 </w:t>
            </w:r>
          </w:p>
          <w:p w14:paraId="7916C86D" w14:textId="72A22D23"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who are unemployed</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A13F7E1"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0.03</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B195D5C"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-0.09</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71F7E8B"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0.03</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E467889"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-0.08</w:t>
            </w:r>
          </w:p>
        </w:tc>
      </w:tr>
      <w:tr w:rsidR="00BA51A1" w:rsidRPr="006611F0" w14:paraId="700C1627"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6A441948"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xml:space="preserve">% of households paying more than </w:t>
            </w:r>
          </w:p>
          <w:p w14:paraId="389A8C46" w14:textId="518AC5BB"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50% of income on housing</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C043CA3"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0.05</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996FF92"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-0.11</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0D77361"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-0.03</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4724D4B"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-0.10</w:t>
            </w:r>
          </w:p>
        </w:tc>
      </w:tr>
      <w:tr w:rsidR="00BA51A1" w:rsidRPr="006611F0" w14:paraId="45B21E46"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hideMark/>
          </w:tcPr>
          <w:p w14:paraId="288C531C"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of population in the same residence</w:t>
            </w:r>
          </w:p>
          <w:p w14:paraId="1ABAC331" w14:textId="2A5D242D"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within the past 12 months</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9DEED5F"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0.08</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4844FC53"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0.30</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990D971"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0.26</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64F27CFF"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0.31</w:t>
            </w:r>
          </w:p>
        </w:tc>
      </w:tr>
      <w:tr w:rsidR="00BA51A1" w:rsidRPr="006611F0" w14:paraId="3EAEF3DE"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5D4042E3" w14:textId="153FBAC8"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of civilian noninstitutionalized population ages 19-64 who are uninsured</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552E80B"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0.15</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89C9ED9"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0.02</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B86D529"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0.20</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EAC2FB4"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0.05</w:t>
            </w:r>
          </w:p>
        </w:tc>
      </w:tr>
      <w:tr w:rsidR="00BA51A1" w:rsidRPr="006611F0" w14:paraId="09863F58"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58CE5F91" w14:textId="7E25B8A4"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of 3- and 4-year-olds not enrolled in school</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35284E"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0.18</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257D7A9"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0.12</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EF91F06"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0.18</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6280CF7"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0.14</w:t>
            </w:r>
          </w:p>
        </w:tc>
      </w:tr>
      <w:tr w:rsidR="00BA51A1" w:rsidRPr="006611F0" w14:paraId="7565B3CD"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65C8CB91"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xml:space="preserve">% of workers 16 </w:t>
            </w:r>
            <w:proofErr w:type="spellStart"/>
            <w:r>
              <w:rPr>
                <w:rFonts w:ascii="Calibri" w:hAnsi="Calibri" w:cs="Calibri"/>
                <w:color w:val="000000"/>
                <w:sz w:val="22"/>
                <w:szCs w:val="22"/>
              </w:rPr>
              <w:t>yrs</w:t>
            </w:r>
            <w:proofErr w:type="spellEnd"/>
            <w:r>
              <w:rPr>
                <w:rFonts w:ascii="Calibri" w:hAnsi="Calibri" w:cs="Calibri"/>
                <w:color w:val="000000"/>
                <w:sz w:val="22"/>
                <w:szCs w:val="22"/>
              </w:rPr>
              <w:t xml:space="preserve"> and older who </w:t>
            </w:r>
          </w:p>
          <w:p w14:paraId="7E38BDC0" w14:textId="63367408"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take a car, taxi, or motorcycle to work</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1D46416"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0.18</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2C108B37"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0.31</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11B9940D"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0.33</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17716CC0"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0.31</w:t>
            </w:r>
          </w:p>
        </w:tc>
      </w:tr>
      <w:tr w:rsidR="00BA51A1" w:rsidRPr="006611F0" w14:paraId="093C4F38"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59AFA633" w14:textId="719AE5B4"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of households with no access to a vehicle</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287CD91"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0.19</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EE601C0"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0.01</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8DE06EF"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0.17</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8BCACC1"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0.05</w:t>
            </w:r>
          </w:p>
        </w:tc>
      </w:tr>
      <w:tr w:rsidR="00BA51A1" w:rsidRPr="006611F0" w14:paraId="55689469"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4ADF022D"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xml:space="preserve">% of population under 18 </w:t>
            </w:r>
            <w:proofErr w:type="spellStart"/>
            <w:r>
              <w:rPr>
                <w:rFonts w:ascii="Calibri" w:hAnsi="Calibri" w:cs="Calibri"/>
                <w:color w:val="000000"/>
                <w:sz w:val="22"/>
                <w:szCs w:val="22"/>
              </w:rPr>
              <w:t>yrs</w:t>
            </w:r>
            <w:proofErr w:type="spellEnd"/>
            <w:r>
              <w:rPr>
                <w:rFonts w:ascii="Calibri" w:hAnsi="Calibri" w:cs="Calibri"/>
                <w:color w:val="000000"/>
                <w:sz w:val="22"/>
                <w:szCs w:val="22"/>
              </w:rPr>
              <w:t xml:space="preserve"> living</w:t>
            </w:r>
          </w:p>
          <w:p w14:paraId="69B7C86B" w14:textId="68635BC6"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xml:space="preserve"> below the poverty level</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A90B019"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0.21</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2BC09942"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0.10</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6C43B37"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0.25</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1207657"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0.13</w:t>
            </w:r>
          </w:p>
        </w:tc>
      </w:tr>
      <w:tr w:rsidR="00BA51A1" w:rsidRPr="006611F0" w14:paraId="7ADE2727"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162AB41A" w14:textId="77777777" w:rsidR="00BA51A1" w:rsidRDefault="00BA51A1" w:rsidP="00BA51A1">
            <w:pPr>
              <w:jc w:val="right"/>
              <w:rPr>
                <w:rFonts w:ascii="Calibri" w:hAnsi="Calibri" w:cs="Calibri"/>
                <w:b/>
                <w:bCs/>
                <w:color w:val="000000"/>
                <w:sz w:val="22"/>
                <w:szCs w:val="22"/>
              </w:rPr>
            </w:pPr>
            <w:r>
              <w:rPr>
                <w:rFonts w:ascii="Calibri" w:hAnsi="Calibri" w:cs="Calibri"/>
                <w:color w:val="000000"/>
                <w:sz w:val="22"/>
                <w:szCs w:val="22"/>
              </w:rPr>
              <w:t xml:space="preserve">% of children living in households </w:t>
            </w:r>
          </w:p>
          <w:p w14:paraId="281271D0" w14:textId="7F4C0B3B"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headed by a single parent</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6A50C8E"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0.25</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64DF952D"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0.16</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706AC745"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0.29</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4B6B9FCC"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0.20</w:t>
            </w:r>
          </w:p>
        </w:tc>
      </w:tr>
      <w:tr w:rsidR="00BA51A1" w:rsidRPr="006611F0" w14:paraId="46BDACA7"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3790FF66" w14:textId="66838CDB"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of housing units built prior to 1950</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50A2CC30"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0.29</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0802901"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0.15</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1FB1BD7E"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0.33</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00BF521C"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0.20</w:t>
            </w:r>
          </w:p>
        </w:tc>
      </w:tr>
      <w:tr w:rsidR="00BA51A1" w:rsidRPr="006611F0" w14:paraId="6C12AAE6"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75954A26" w14:textId="3AE1D4F5"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of housing units that are vacant</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7B4A840B"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0.30</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74B89E17"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0.33</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6995E18C"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0.45</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35FAA82E"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0.36</w:t>
            </w:r>
          </w:p>
        </w:tc>
      </w:tr>
      <w:tr w:rsidR="00BA51A1" w:rsidRPr="006611F0" w14:paraId="1BF3DA64"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14:paraId="2333309E" w14:textId="72E2FA5F"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xml:space="preserve">% of population ages 18 to 64 </w:t>
            </w:r>
            <w:proofErr w:type="spellStart"/>
            <w:r>
              <w:rPr>
                <w:rFonts w:ascii="Calibri" w:hAnsi="Calibri" w:cs="Calibri"/>
                <w:color w:val="000000"/>
                <w:sz w:val="22"/>
                <w:szCs w:val="22"/>
              </w:rPr>
              <w:t>yrs</w:t>
            </w:r>
            <w:proofErr w:type="spellEnd"/>
            <w:r>
              <w:rPr>
                <w:rFonts w:ascii="Calibri" w:hAnsi="Calibri" w:cs="Calibri"/>
                <w:color w:val="000000"/>
                <w:sz w:val="22"/>
                <w:szCs w:val="22"/>
              </w:rPr>
              <w:t xml:space="preserve"> with household incomes below the poverty level</w:t>
            </w:r>
          </w:p>
        </w:tc>
        <w:tc>
          <w:tcPr>
            <w:tcW w:w="8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7DDCE8FF"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0.32</w:t>
            </w:r>
          </w:p>
        </w:tc>
        <w:tc>
          <w:tcPr>
            <w:tcW w:w="9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EE38968"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0.17</w:t>
            </w:r>
          </w:p>
        </w:tc>
        <w:tc>
          <w:tcPr>
            <w:tcW w:w="78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D9E1F2"/>
            <w:noWrap/>
            <w:vAlign w:val="center"/>
            <w:hideMark/>
          </w:tcPr>
          <w:p w14:paraId="1A1B1D8C"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0.37</w:t>
            </w:r>
          </w:p>
        </w:tc>
        <w:tc>
          <w:tcPr>
            <w:tcW w:w="92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hideMark/>
          </w:tcPr>
          <w:p w14:paraId="1D493145"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0.21</w:t>
            </w:r>
          </w:p>
        </w:tc>
      </w:tr>
      <w:tr w:rsidR="00BA51A1" w:rsidRPr="006611F0" w14:paraId="0D5BDAE5" w14:textId="77777777" w:rsidTr="00FF2809">
        <w:trPr>
          <w:trHeight w:val="300"/>
        </w:trPr>
        <w:tc>
          <w:tcPr>
            <w:tcW w:w="558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noWrap/>
            <w:vAlign w:val="bottom"/>
            <w:hideMark/>
          </w:tcPr>
          <w:p w14:paraId="750DFC40" w14:textId="0C7BD67E" w:rsidR="00BA51A1" w:rsidRPr="006611F0" w:rsidRDefault="00BA51A1" w:rsidP="00BA51A1">
            <w:pPr>
              <w:jc w:val="right"/>
              <w:rPr>
                <w:rFonts w:ascii="Calibri" w:hAnsi="Calibri"/>
                <w:b/>
                <w:bCs/>
                <w:color w:val="000000"/>
                <w:sz w:val="22"/>
                <w:szCs w:val="22"/>
                <w:lang w:eastAsia="en-US"/>
              </w:rPr>
            </w:pPr>
            <w:r>
              <w:rPr>
                <w:rFonts w:ascii="Calibri" w:hAnsi="Calibri" w:cs="Calibri"/>
                <w:color w:val="000000"/>
                <w:sz w:val="22"/>
                <w:szCs w:val="22"/>
              </w:rPr>
              <w:t>% of households receiving public assistance (cash public assistance or Food Stamps/SNAP)</w:t>
            </w:r>
          </w:p>
        </w:tc>
        <w:tc>
          <w:tcPr>
            <w:tcW w:w="81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000000" w:fill="D9E1F2"/>
            <w:noWrap/>
            <w:vAlign w:val="center"/>
            <w:hideMark/>
          </w:tcPr>
          <w:p w14:paraId="34931FDB"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0.33</w:t>
            </w:r>
          </w:p>
        </w:tc>
        <w:tc>
          <w:tcPr>
            <w:tcW w:w="90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noWrap/>
            <w:vAlign w:val="center"/>
            <w:hideMark/>
          </w:tcPr>
          <w:p w14:paraId="0B39F119"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0.12</w:t>
            </w:r>
          </w:p>
        </w:tc>
        <w:tc>
          <w:tcPr>
            <w:tcW w:w="78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000000" w:fill="D9E1F2"/>
            <w:noWrap/>
            <w:vAlign w:val="center"/>
            <w:hideMark/>
          </w:tcPr>
          <w:p w14:paraId="48E30C12"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0.31</w:t>
            </w:r>
          </w:p>
        </w:tc>
        <w:tc>
          <w:tcPr>
            <w:tcW w:w="92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noWrap/>
            <w:vAlign w:val="center"/>
            <w:hideMark/>
          </w:tcPr>
          <w:p w14:paraId="4952ED06" w14:textId="77777777" w:rsidR="00BA51A1" w:rsidRPr="006611F0" w:rsidRDefault="00BA51A1" w:rsidP="00FF2809">
            <w:pPr>
              <w:jc w:val="right"/>
              <w:rPr>
                <w:rFonts w:ascii="Calibri" w:hAnsi="Calibri"/>
                <w:color w:val="000000"/>
                <w:sz w:val="22"/>
                <w:szCs w:val="22"/>
                <w:lang w:eastAsia="en-US"/>
              </w:rPr>
            </w:pPr>
            <w:r w:rsidRPr="006611F0">
              <w:rPr>
                <w:rFonts w:ascii="Calibri" w:hAnsi="Calibri"/>
                <w:color w:val="000000"/>
                <w:sz w:val="22"/>
                <w:szCs w:val="22"/>
                <w:lang w:eastAsia="en-US"/>
              </w:rPr>
              <w:t>0.15</w:t>
            </w:r>
          </w:p>
        </w:tc>
      </w:tr>
    </w:tbl>
    <w:p w14:paraId="0B440585" w14:textId="33A9F392" w:rsidR="00594AA6" w:rsidRDefault="00594AA6">
      <w:pPr>
        <w:spacing w:after="160" w:line="259" w:lineRule="auto"/>
        <w:rPr>
          <w:rFonts w:asciiTheme="minorHAnsi" w:hAnsiTheme="minorHAnsi" w:cstheme="minorHAnsi"/>
          <w:b/>
          <w:bCs/>
          <w:i/>
          <w:iCs/>
        </w:rPr>
      </w:pPr>
      <w:r>
        <w:rPr>
          <w:rFonts w:asciiTheme="minorHAnsi" w:hAnsiTheme="minorHAnsi" w:cstheme="minorHAnsi"/>
          <w:b/>
          <w:bCs/>
          <w:i/>
          <w:iCs/>
        </w:rPr>
        <w:br w:type="page"/>
      </w:r>
    </w:p>
    <w:p w14:paraId="588C0EBB" w14:textId="3D4B6083" w:rsidR="00FF2809" w:rsidRPr="00FF2809" w:rsidRDefault="00FF2809" w:rsidP="00BF4FE9">
      <w:pPr>
        <w:spacing w:line="259" w:lineRule="auto"/>
        <w:rPr>
          <w:rFonts w:asciiTheme="minorHAnsi" w:hAnsiTheme="minorHAnsi" w:cstheme="minorHAnsi"/>
          <w:i/>
          <w:iCs/>
        </w:rPr>
      </w:pPr>
      <w:r>
        <w:rPr>
          <w:rFonts w:asciiTheme="minorHAnsi" w:hAnsiTheme="minorHAnsi" w:cstheme="minorHAnsi"/>
          <w:b/>
          <w:bCs/>
          <w:i/>
          <w:iCs/>
        </w:rPr>
        <w:t>Table 2.</w:t>
      </w:r>
      <w:r>
        <w:rPr>
          <w:rFonts w:asciiTheme="minorHAnsi" w:hAnsiTheme="minorHAnsi" w:cstheme="minorHAnsi"/>
          <w:i/>
          <w:iCs/>
        </w:rPr>
        <w:t xml:space="preserve"> Bivariate correlations</w:t>
      </w:r>
      <w:r w:rsidR="004634A1">
        <w:rPr>
          <w:rFonts w:asciiTheme="minorHAnsi" w:hAnsiTheme="minorHAnsi" w:cstheme="minorHAnsi"/>
          <w:i/>
          <w:iCs/>
        </w:rPr>
        <w:t xml:space="preserve"> between rurality and Behavioral Health Index (BHI) indicators.</w:t>
      </w:r>
    </w:p>
    <w:tbl>
      <w:tblPr>
        <w:tblW w:w="7285" w:type="dxa"/>
        <w:tblLook w:val="04A0" w:firstRow="1" w:lastRow="0" w:firstColumn="1" w:lastColumn="0" w:noHBand="0" w:noVBand="1"/>
      </w:tblPr>
      <w:tblGrid>
        <w:gridCol w:w="5755"/>
        <w:gridCol w:w="1530"/>
      </w:tblGrid>
      <w:tr w:rsidR="00BF4FE9" w:rsidRPr="00594AA6" w14:paraId="22DE7C95" w14:textId="77777777" w:rsidTr="00293252">
        <w:trPr>
          <w:trHeight w:val="845"/>
        </w:trPr>
        <w:tc>
          <w:tcPr>
            <w:tcW w:w="5755" w:type="dxa"/>
            <w:tcBorders>
              <w:top w:val="single" w:sz="4" w:space="0" w:color="auto"/>
              <w:left w:val="single" w:sz="4" w:space="0" w:color="auto"/>
              <w:bottom w:val="single" w:sz="4" w:space="0" w:color="auto"/>
              <w:right w:val="single" w:sz="4" w:space="0" w:color="auto"/>
            </w:tcBorders>
            <w:shd w:val="clear" w:color="000000" w:fill="D9D9D9"/>
            <w:vAlign w:val="center"/>
          </w:tcPr>
          <w:p w14:paraId="2F8F262C" w14:textId="2FE73C63" w:rsidR="00BF4FE9" w:rsidRPr="0087477E" w:rsidRDefault="00211E77" w:rsidP="00BF4FE9">
            <w:pPr>
              <w:jc w:val="center"/>
              <w:rPr>
                <w:rFonts w:ascii="Calibri" w:hAnsi="Calibri" w:cs="Calibri"/>
                <w:b/>
                <w:bCs/>
                <w:color w:val="000000"/>
                <w:sz w:val="22"/>
                <w:szCs w:val="22"/>
                <w:lang w:eastAsia="en-US"/>
              </w:rPr>
            </w:pPr>
            <w:r w:rsidRPr="0087477E">
              <w:rPr>
                <w:rFonts w:ascii="Calibri" w:hAnsi="Calibri" w:cs="Calibri"/>
                <w:b/>
                <w:bCs/>
                <w:color w:val="000000"/>
                <w:sz w:val="22"/>
                <w:szCs w:val="22"/>
              </w:rPr>
              <w:t>I</w:t>
            </w:r>
            <w:r w:rsidR="009F7868" w:rsidRPr="0087477E">
              <w:rPr>
                <w:rFonts w:ascii="Calibri" w:hAnsi="Calibri" w:cs="Calibri"/>
                <w:b/>
                <w:bCs/>
                <w:color w:val="000000"/>
                <w:sz w:val="22"/>
                <w:szCs w:val="22"/>
              </w:rPr>
              <w:t>ndicator</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14:paraId="6B5E7C96" w14:textId="5E7D4DFB" w:rsidR="00BF4FE9" w:rsidRPr="0087477E" w:rsidRDefault="00293252" w:rsidP="00293252">
            <w:pPr>
              <w:jc w:val="center"/>
              <w:rPr>
                <w:rFonts w:ascii="Calibri" w:hAnsi="Calibri" w:cs="Calibri"/>
                <w:b/>
                <w:bCs/>
                <w:color w:val="000000"/>
                <w:sz w:val="22"/>
                <w:szCs w:val="22"/>
                <w:lang w:eastAsia="en-US"/>
              </w:rPr>
            </w:pPr>
            <w:r w:rsidRPr="0087477E">
              <w:rPr>
                <w:rFonts w:ascii="Calibri" w:hAnsi="Calibri" w:cs="Calibri"/>
                <w:b/>
                <w:bCs/>
                <w:color w:val="000000"/>
                <w:sz w:val="22"/>
                <w:szCs w:val="22"/>
                <w:lang w:eastAsia="en-US"/>
              </w:rPr>
              <w:t>Correlation with Rurality</w:t>
            </w:r>
            <w:r w:rsidR="009F7868" w:rsidRPr="0087477E">
              <w:rPr>
                <w:rFonts w:ascii="Calibri" w:hAnsi="Calibri" w:cs="Calibri"/>
                <w:b/>
                <w:bCs/>
                <w:color w:val="000000"/>
                <w:sz w:val="22"/>
                <w:szCs w:val="22"/>
                <w:vertAlign w:val="superscript"/>
                <w:lang w:eastAsia="en-US"/>
              </w:rPr>
              <w:t>1</w:t>
            </w:r>
          </w:p>
        </w:tc>
      </w:tr>
      <w:tr w:rsidR="00BF4FE9" w:rsidRPr="00594AA6" w14:paraId="4B877AC7" w14:textId="77777777" w:rsidTr="00293252">
        <w:trPr>
          <w:trHeight w:val="315"/>
        </w:trPr>
        <w:tc>
          <w:tcPr>
            <w:tcW w:w="5755"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4082F3E" w14:textId="1485419C"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housing units that are vacant</w:t>
            </w:r>
          </w:p>
        </w:tc>
        <w:tc>
          <w:tcPr>
            <w:tcW w:w="153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noWrap/>
            <w:vAlign w:val="center"/>
            <w:hideMark/>
          </w:tcPr>
          <w:p w14:paraId="2158176D" w14:textId="77777777" w:rsidR="00BF4FE9" w:rsidRPr="0087477E" w:rsidRDefault="00BF4FE9" w:rsidP="00BF4FE9">
            <w:pPr>
              <w:jc w:val="right"/>
              <w:rPr>
                <w:rFonts w:ascii="Calibri" w:hAnsi="Calibri" w:cs="Calibri"/>
                <w:sz w:val="22"/>
                <w:szCs w:val="22"/>
                <w:lang w:eastAsia="en-US"/>
              </w:rPr>
            </w:pPr>
            <w:r w:rsidRPr="0087477E">
              <w:rPr>
                <w:rFonts w:ascii="Calibri" w:hAnsi="Calibri" w:cs="Calibri"/>
                <w:sz w:val="22"/>
                <w:szCs w:val="22"/>
                <w:lang w:eastAsia="en-US"/>
              </w:rPr>
              <w:t>0.55</w:t>
            </w:r>
          </w:p>
        </w:tc>
      </w:tr>
      <w:tr w:rsidR="00BF4FE9" w:rsidRPr="00594AA6" w14:paraId="7C36E38F"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A96773" w14:textId="5732C3A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population in the same residence within the past 12 months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9BC2E6"/>
            <w:noWrap/>
            <w:vAlign w:val="center"/>
            <w:hideMark/>
          </w:tcPr>
          <w:p w14:paraId="2841B7DA" w14:textId="77777777" w:rsidR="00BF4FE9" w:rsidRPr="0087477E" w:rsidRDefault="00BF4FE9" w:rsidP="00BF4FE9">
            <w:pPr>
              <w:jc w:val="right"/>
              <w:rPr>
                <w:rFonts w:ascii="Calibri" w:hAnsi="Calibri" w:cs="Calibri"/>
                <w:sz w:val="22"/>
                <w:szCs w:val="22"/>
                <w:lang w:eastAsia="en-US"/>
              </w:rPr>
            </w:pPr>
            <w:r w:rsidRPr="0087477E">
              <w:rPr>
                <w:rFonts w:ascii="Calibri" w:hAnsi="Calibri" w:cs="Calibri"/>
                <w:sz w:val="22"/>
                <w:szCs w:val="22"/>
                <w:lang w:eastAsia="en-US"/>
              </w:rPr>
              <w:t>0.52</w:t>
            </w:r>
          </w:p>
        </w:tc>
      </w:tr>
      <w:tr w:rsidR="00BF4FE9" w:rsidRPr="00594AA6" w14:paraId="4970F677"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EC572F" w14:textId="5188D088"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xml:space="preserve">% of workers 16 </w:t>
            </w:r>
            <w:proofErr w:type="spellStart"/>
            <w:r w:rsidRPr="0087477E">
              <w:rPr>
                <w:rFonts w:ascii="Calibri" w:hAnsi="Calibri" w:cs="Calibri"/>
                <w:color w:val="000000"/>
                <w:sz w:val="22"/>
                <w:szCs w:val="22"/>
              </w:rPr>
              <w:t>yrs</w:t>
            </w:r>
            <w:proofErr w:type="spellEnd"/>
            <w:r w:rsidRPr="0087477E">
              <w:rPr>
                <w:rFonts w:ascii="Calibri" w:hAnsi="Calibri" w:cs="Calibri"/>
                <w:color w:val="000000"/>
                <w:sz w:val="22"/>
                <w:szCs w:val="22"/>
              </w:rPr>
              <w:t xml:space="preserve"> and older who take a car, taxi, or motorcycle to work</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7B3C0AA3"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0.31</w:t>
            </w:r>
          </w:p>
        </w:tc>
      </w:tr>
      <w:tr w:rsidR="00BF4FE9" w:rsidRPr="00594AA6" w14:paraId="64E7A0F3"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D12AED" w14:textId="08B4DCB5"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housing units built prior to 1950</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E3EA90A"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0.24</w:t>
            </w:r>
          </w:p>
        </w:tc>
      </w:tr>
      <w:tr w:rsidR="00BF4FE9" w:rsidRPr="00594AA6" w14:paraId="71CA0C12"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5F50C7" w14:textId="1D83C36E"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Average travel time to work (minutes)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85075F4"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0.20</w:t>
            </w:r>
          </w:p>
        </w:tc>
      </w:tr>
      <w:tr w:rsidR="00BF4FE9" w:rsidRPr="00594AA6" w14:paraId="44271527"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CA7F394" w14:textId="62ED04DD"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3- and 4-year-olds not enrolled in school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9A32DF6"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0.20</w:t>
            </w:r>
          </w:p>
        </w:tc>
      </w:tr>
      <w:tr w:rsidR="00BF4FE9" w:rsidRPr="00594AA6" w14:paraId="60F5A204"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9E57D2" w14:textId="39E06B13"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households receiving public assistance (cash public assistance or Food Stamps/SNAP)</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3E29B445"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0.18</w:t>
            </w:r>
          </w:p>
        </w:tc>
      </w:tr>
      <w:tr w:rsidR="00BF4FE9" w:rsidRPr="00594AA6" w14:paraId="73B1379D"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D31AE8" w14:textId="71789B1B"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xml:space="preserve">% of population ages 18 to 64 </w:t>
            </w:r>
            <w:proofErr w:type="spellStart"/>
            <w:r w:rsidRPr="0087477E">
              <w:rPr>
                <w:rFonts w:ascii="Calibri" w:hAnsi="Calibri" w:cs="Calibri"/>
                <w:color w:val="000000"/>
                <w:sz w:val="22"/>
                <w:szCs w:val="22"/>
              </w:rPr>
              <w:t>yrs</w:t>
            </w:r>
            <w:proofErr w:type="spellEnd"/>
            <w:r w:rsidRPr="0087477E">
              <w:rPr>
                <w:rFonts w:ascii="Calibri" w:hAnsi="Calibri" w:cs="Calibri"/>
                <w:color w:val="000000"/>
                <w:sz w:val="22"/>
                <w:szCs w:val="22"/>
              </w:rPr>
              <w:t xml:space="preserve"> with household incomes below the poverty level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8D021E5"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0.15</w:t>
            </w:r>
          </w:p>
        </w:tc>
      </w:tr>
      <w:tr w:rsidR="00BF4FE9" w:rsidRPr="00594AA6" w14:paraId="0C882DC0"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7B6A2A" w14:textId="3AE34788"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civilian noninstitutionalized population ages 19-64 who are uninsured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5A8EC91"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0.14</w:t>
            </w:r>
          </w:p>
        </w:tc>
      </w:tr>
      <w:tr w:rsidR="00BF4FE9" w:rsidRPr="00594AA6" w14:paraId="26389019"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8DCF15" w14:textId="3C3BF576"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xml:space="preserve">% of population 15 </w:t>
            </w:r>
            <w:proofErr w:type="spellStart"/>
            <w:r w:rsidRPr="0087477E">
              <w:rPr>
                <w:rFonts w:ascii="Calibri" w:hAnsi="Calibri" w:cs="Calibri"/>
                <w:color w:val="000000"/>
                <w:sz w:val="22"/>
                <w:szCs w:val="22"/>
              </w:rPr>
              <w:t>yrs</w:t>
            </w:r>
            <w:proofErr w:type="spellEnd"/>
            <w:r w:rsidRPr="0087477E">
              <w:rPr>
                <w:rFonts w:ascii="Calibri" w:hAnsi="Calibri" w:cs="Calibri"/>
                <w:color w:val="000000"/>
                <w:sz w:val="22"/>
                <w:szCs w:val="22"/>
              </w:rPr>
              <w:t>+ now married (excluding those who are separated)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294B40"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0.14</w:t>
            </w:r>
          </w:p>
        </w:tc>
      </w:tr>
      <w:tr w:rsidR="00BF4FE9" w:rsidRPr="00594AA6" w14:paraId="1585DD79"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F5D724" w14:textId="63448D8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xml:space="preserve">% of population under 18 </w:t>
            </w:r>
            <w:proofErr w:type="spellStart"/>
            <w:r w:rsidRPr="0087477E">
              <w:rPr>
                <w:rFonts w:ascii="Calibri" w:hAnsi="Calibri" w:cs="Calibri"/>
                <w:color w:val="000000"/>
                <w:sz w:val="22"/>
                <w:szCs w:val="22"/>
              </w:rPr>
              <w:t>yrs</w:t>
            </w:r>
            <w:proofErr w:type="spellEnd"/>
            <w:r w:rsidRPr="0087477E">
              <w:rPr>
                <w:rFonts w:ascii="Calibri" w:hAnsi="Calibri" w:cs="Calibri"/>
                <w:color w:val="000000"/>
                <w:sz w:val="22"/>
                <w:szCs w:val="22"/>
              </w:rPr>
              <w:t xml:space="preserve"> living below the poverty level</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170E2A9F"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0.04</w:t>
            </w:r>
          </w:p>
        </w:tc>
      </w:tr>
      <w:tr w:rsidR="00BF4FE9" w:rsidRPr="00594AA6" w14:paraId="7AC56889"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564826" w14:textId="57F64FD4"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children living in households headed by a single parent</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5384540"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0.02</w:t>
            </w:r>
          </w:p>
        </w:tc>
      </w:tr>
      <w:tr w:rsidR="00BF4FE9" w:rsidRPr="00594AA6" w14:paraId="71FBC8C7"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C71101" w14:textId="1F61656A"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households with no access to a vehicle</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A509F4B"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-0.11</w:t>
            </w:r>
          </w:p>
        </w:tc>
      </w:tr>
      <w:tr w:rsidR="00BF4FE9" w:rsidRPr="00594AA6" w14:paraId="5F360B5D"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FD062C" w14:textId="767C4E79"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population aged 25-64 who are unemployed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6AE7F1D9"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-0.12</w:t>
            </w:r>
          </w:p>
        </w:tc>
      </w:tr>
      <w:tr w:rsidR="00BF4FE9" w:rsidRPr="00594AA6" w14:paraId="70C28F82"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4805BE" w14:textId="19DB764A"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children who are uninsured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4DDB4A69"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-0.18</w:t>
            </w:r>
          </w:p>
        </w:tc>
      </w:tr>
      <w:tr w:rsidR="00BF4FE9" w:rsidRPr="00594AA6" w14:paraId="3804D344"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AD1803" w14:textId="1355B1F4"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households paying more than 50% of income on housing</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noWrap/>
            <w:vAlign w:val="center"/>
            <w:hideMark/>
          </w:tcPr>
          <w:p w14:paraId="247BAF67"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-0.26</w:t>
            </w:r>
          </w:p>
        </w:tc>
      </w:tr>
      <w:tr w:rsidR="00BF4FE9" w:rsidRPr="00594AA6" w14:paraId="50F9808E"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E73065" w14:textId="5998928A"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properties with 1 or more poor housing conditions (e.g., no plumbing, no kitchen, overcrowded, cost burdened)</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567E93D0"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-0.32</w:t>
            </w:r>
          </w:p>
        </w:tc>
      </w:tr>
      <w:tr w:rsidR="00BF4FE9" w:rsidRPr="00594AA6" w14:paraId="6BD21827"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E13A3D7" w14:textId="4D3A9B1D"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xml:space="preserve">% of workers 16 </w:t>
            </w:r>
            <w:proofErr w:type="spellStart"/>
            <w:r w:rsidRPr="0087477E">
              <w:rPr>
                <w:rFonts w:ascii="Calibri" w:hAnsi="Calibri" w:cs="Calibri"/>
                <w:color w:val="000000"/>
                <w:sz w:val="22"/>
                <w:szCs w:val="22"/>
              </w:rPr>
              <w:t>yrs</w:t>
            </w:r>
            <w:proofErr w:type="spellEnd"/>
            <w:r w:rsidRPr="0087477E">
              <w:rPr>
                <w:rFonts w:ascii="Calibri" w:hAnsi="Calibri" w:cs="Calibri"/>
                <w:color w:val="000000"/>
                <w:sz w:val="22"/>
                <w:szCs w:val="22"/>
              </w:rPr>
              <w:t xml:space="preserve"> and older who walk or bike to work</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5288F955"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-0.34</w:t>
            </w:r>
          </w:p>
        </w:tc>
      </w:tr>
      <w:tr w:rsidR="00BF4FE9" w:rsidRPr="00594AA6" w14:paraId="769337ED"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89C79A" w14:textId="5C5D7F5A"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households with more than one occupant per room</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68574231"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-0.34</w:t>
            </w:r>
          </w:p>
        </w:tc>
      </w:tr>
      <w:tr w:rsidR="00BF4FE9" w:rsidRPr="00594AA6" w14:paraId="663A56CC"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0816F9" w14:textId="09EB750B"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of households paying more than 30% of income on housing</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7F11BADB"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-0.35</w:t>
            </w:r>
          </w:p>
        </w:tc>
      </w:tr>
      <w:tr w:rsidR="00BF4FE9" w:rsidRPr="00594AA6" w14:paraId="72F5271C"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4B44B4D" w14:textId="28F5D634"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with a high school diploma or higher (ages 25yrs and older)</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6D4108A2"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-0.35</w:t>
            </w:r>
          </w:p>
        </w:tc>
      </w:tr>
      <w:tr w:rsidR="00BF4FE9" w:rsidRPr="00594AA6" w14:paraId="22F42B25"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9BAF145" w14:textId="7A274CFF"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Median annual household income</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5460DC67"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-0.42</w:t>
            </w:r>
          </w:p>
        </w:tc>
      </w:tr>
      <w:tr w:rsidR="00BF4FE9" w:rsidRPr="00594AA6" w14:paraId="0EB58A85"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B5675D" w14:textId="50C1D71C"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Median home value of owner-occupied units</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72004074"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-0.44</w:t>
            </w:r>
          </w:p>
        </w:tc>
      </w:tr>
      <w:tr w:rsidR="00BF4FE9" w:rsidRPr="00594AA6" w14:paraId="4A90F0BB" w14:textId="77777777" w:rsidTr="00293252">
        <w:trPr>
          <w:trHeight w:val="315"/>
        </w:trPr>
        <w:tc>
          <w:tcPr>
            <w:tcW w:w="57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43D3F3" w14:textId="37662C68"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with bachelor's degree or higher (ages 25yrs and older)</w:t>
            </w:r>
          </w:p>
        </w:tc>
        <w:tc>
          <w:tcPr>
            <w:tcW w:w="1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E1F2"/>
            <w:noWrap/>
            <w:vAlign w:val="center"/>
            <w:hideMark/>
          </w:tcPr>
          <w:p w14:paraId="577F529B"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-0.50</w:t>
            </w:r>
          </w:p>
        </w:tc>
      </w:tr>
      <w:tr w:rsidR="00BF4FE9" w:rsidRPr="00594AA6" w14:paraId="0BCEF4A2" w14:textId="77777777" w:rsidTr="00293252">
        <w:trPr>
          <w:trHeight w:val="315"/>
        </w:trPr>
        <w:tc>
          <w:tcPr>
            <w:tcW w:w="5755" w:type="dxa"/>
            <w:tcBorders>
              <w:top w:val="single" w:sz="4" w:space="0" w:color="BFBFBF" w:themeColor="background1" w:themeShade="BF"/>
              <w:left w:val="single" w:sz="4" w:space="0" w:color="BFBFBF" w:themeColor="background1" w:themeShade="BF"/>
              <w:right w:val="single" w:sz="4" w:space="0" w:color="BFBFBF" w:themeColor="background1" w:themeShade="BF"/>
            </w:tcBorders>
            <w:vAlign w:val="center"/>
          </w:tcPr>
          <w:p w14:paraId="098927DF" w14:textId="65C26673"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rPr>
              <w:t xml:space="preserve">% of workers 16 </w:t>
            </w:r>
            <w:proofErr w:type="spellStart"/>
            <w:r w:rsidRPr="0087477E">
              <w:rPr>
                <w:rFonts w:ascii="Calibri" w:hAnsi="Calibri" w:cs="Calibri"/>
                <w:color w:val="000000"/>
                <w:sz w:val="22"/>
                <w:szCs w:val="22"/>
              </w:rPr>
              <w:t>yrs</w:t>
            </w:r>
            <w:proofErr w:type="spellEnd"/>
            <w:r w:rsidRPr="0087477E">
              <w:rPr>
                <w:rFonts w:ascii="Calibri" w:hAnsi="Calibri" w:cs="Calibri"/>
                <w:color w:val="000000"/>
                <w:sz w:val="22"/>
                <w:szCs w:val="22"/>
              </w:rPr>
              <w:t xml:space="preserve"> and older who take public transport (bus, train, subway) to work</w:t>
            </w:r>
          </w:p>
        </w:tc>
        <w:tc>
          <w:tcPr>
            <w:tcW w:w="1530"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000000" w:fill="9BC2E6"/>
            <w:noWrap/>
            <w:vAlign w:val="center"/>
            <w:hideMark/>
          </w:tcPr>
          <w:p w14:paraId="26259B99" w14:textId="77777777" w:rsidR="00BF4FE9" w:rsidRPr="0087477E" w:rsidRDefault="00BF4FE9" w:rsidP="00BF4FE9">
            <w:pPr>
              <w:jc w:val="right"/>
              <w:rPr>
                <w:rFonts w:ascii="Calibri" w:hAnsi="Calibri" w:cs="Calibri"/>
                <w:color w:val="000000"/>
                <w:sz w:val="22"/>
                <w:szCs w:val="22"/>
                <w:lang w:eastAsia="en-US"/>
              </w:rPr>
            </w:pPr>
            <w:r w:rsidRPr="0087477E">
              <w:rPr>
                <w:rFonts w:ascii="Calibri" w:hAnsi="Calibri" w:cs="Calibri"/>
                <w:color w:val="000000"/>
                <w:sz w:val="22"/>
                <w:szCs w:val="22"/>
                <w:lang w:eastAsia="en-US"/>
              </w:rPr>
              <w:t>-0.57</w:t>
            </w:r>
          </w:p>
        </w:tc>
      </w:tr>
    </w:tbl>
    <w:p w14:paraId="1D8B993C" w14:textId="7DAD01DC" w:rsidR="0087477E" w:rsidRPr="009351AD" w:rsidRDefault="009F7868" w:rsidP="00FF2809">
      <w:pPr>
        <w:spacing w:after="160" w:line="259" w:lineRule="auto"/>
        <w:rPr>
          <w:rFonts w:asciiTheme="minorHAnsi" w:hAnsiTheme="minorHAnsi" w:cstheme="minorHAnsi"/>
          <w:i/>
          <w:iCs/>
          <w:sz w:val="22"/>
          <w:szCs w:val="22"/>
        </w:rPr>
      </w:pPr>
      <w:r w:rsidRPr="009351AD">
        <w:rPr>
          <w:rFonts w:asciiTheme="minorHAnsi" w:hAnsiTheme="minorHAnsi" w:cstheme="minorHAnsi"/>
          <w:i/>
          <w:iCs/>
          <w:sz w:val="22"/>
          <w:szCs w:val="22"/>
          <w:vertAlign w:val="superscript"/>
        </w:rPr>
        <w:t>1</w:t>
      </w:r>
      <w:r w:rsidRPr="009351AD">
        <w:rPr>
          <w:rFonts w:asciiTheme="minorHAnsi" w:hAnsiTheme="minorHAnsi" w:cstheme="minorHAnsi"/>
          <w:i/>
          <w:iCs/>
          <w:sz w:val="22"/>
          <w:szCs w:val="22"/>
        </w:rPr>
        <w:t>2018 Education Demographic and Geographic Estimates (EDGE) Program locale codes (12 categories) used as the rurality measure</w:t>
      </w:r>
      <w:r w:rsidR="0022484B" w:rsidRPr="009351AD">
        <w:rPr>
          <w:rFonts w:asciiTheme="minorHAnsi" w:hAnsiTheme="minorHAnsi" w:cstheme="minorHAnsi"/>
          <w:i/>
          <w:iCs/>
          <w:sz w:val="22"/>
          <w:szCs w:val="22"/>
        </w:rPr>
        <w:t>. S</w:t>
      </w:r>
      <w:r w:rsidR="009351AD" w:rsidRPr="009351AD">
        <w:rPr>
          <w:rFonts w:asciiTheme="minorHAnsi" w:hAnsiTheme="minorHAnsi" w:cstheme="minorHAnsi"/>
          <w:i/>
          <w:iCs/>
          <w:sz w:val="22"/>
          <w:szCs w:val="22"/>
        </w:rPr>
        <w:t xml:space="preserve">ee </w:t>
      </w:r>
      <w:hyperlink r:id="rId11" w:history="1">
        <w:r w:rsidR="009351AD" w:rsidRPr="009351AD">
          <w:rPr>
            <w:rStyle w:val="Hyperlink"/>
            <w:rFonts w:asciiTheme="minorHAnsi" w:hAnsiTheme="minorHAnsi" w:cstheme="minorHAnsi"/>
            <w:i/>
            <w:iCs/>
            <w:sz w:val="22"/>
            <w:szCs w:val="22"/>
          </w:rPr>
          <w:t>https://nces.ed.gov/programs/edge/docs/EDGE_NCES_LOCALE.pdf</w:t>
        </w:r>
      </w:hyperlink>
      <w:r w:rsidR="009351AD" w:rsidRPr="009351AD">
        <w:rPr>
          <w:rFonts w:asciiTheme="minorHAnsi" w:hAnsiTheme="minorHAnsi" w:cstheme="minorHAnsi"/>
          <w:i/>
          <w:iCs/>
          <w:sz w:val="22"/>
          <w:szCs w:val="22"/>
        </w:rPr>
        <w:t xml:space="preserve"> for more details</w:t>
      </w:r>
      <w:r w:rsidR="009917B6" w:rsidRPr="009351AD">
        <w:rPr>
          <w:rFonts w:asciiTheme="minorHAnsi" w:hAnsiTheme="minorHAnsi" w:cstheme="minorHAnsi"/>
          <w:i/>
          <w:iCs/>
          <w:sz w:val="22"/>
          <w:szCs w:val="22"/>
        </w:rPr>
        <w:t>.</w:t>
      </w:r>
    </w:p>
    <w:p w14:paraId="7172DE39" w14:textId="77777777" w:rsidR="0087477E" w:rsidRDefault="0087477E">
      <w:pPr>
        <w:spacing w:after="160" w:line="259" w:lineRule="auto"/>
        <w:rPr>
          <w:rFonts w:asciiTheme="minorHAnsi" w:hAnsiTheme="minorHAnsi" w:cstheme="minorHAnsi"/>
          <w:i/>
          <w:iCs/>
          <w:sz w:val="22"/>
          <w:szCs w:val="22"/>
        </w:rPr>
      </w:pPr>
      <w:r>
        <w:rPr>
          <w:rFonts w:asciiTheme="minorHAnsi" w:hAnsiTheme="minorHAnsi" w:cstheme="minorHAnsi"/>
          <w:i/>
          <w:iCs/>
          <w:sz w:val="22"/>
          <w:szCs w:val="22"/>
        </w:rPr>
        <w:br w:type="page"/>
      </w:r>
    </w:p>
    <w:p w14:paraId="0BE418CC" w14:textId="46E91276" w:rsidR="007F622A" w:rsidRPr="00B4305F" w:rsidRDefault="00594AA6" w:rsidP="00A206A3">
      <w:pPr>
        <w:rPr>
          <w:rFonts w:asciiTheme="minorHAnsi" w:hAnsiTheme="minorHAnsi" w:cstheme="minorHAnsi"/>
          <w:b/>
          <w:bCs/>
          <w:i/>
          <w:iCs/>
        </w:rPr>
      </w:pPr>
      <w:r w:rsidRPr="00B4305F">
        <w:rPr>
          <w:rFonts w:asciiTheme="minorHAnsi" w:hAnsiTheme="minorHAnsi" w:cstheme="minorHAnsi"/>
          <w:b/>
          <w:bCs/>
          <w:i/>
          <w:iCs/>
        </w:rPr>
        <w:t xml:space="preserve">Table </w:t>
      </w:r>
      <w:r w:rsidR="00293252">
        <w:rPr>
          <w:rFonts w:asciiTheme="minorHAnsi" w:hAnsiTheme="minorHAnsi" w:cstheme="minorHAnsi"/>
          <w:b/>
          <w:bCs/>
          <w:i/>
          <w:iCs/>
        </w:rPr>
        <w:t>3</w:t>
      </w:r>
      <w:r w:rsidRPr="00B4305F">
        <w:rPr>
          <w:rFonts w:asciiTheme="minorHAnsi" w:hAnsiTheme="minorHAnsi" w:cstheme="minorHAnsi"/>
          <w:b/>
          <w:bCs/>
          <w:i/>
          <w:iCs/>
        </w:rPr>
        <w:t xml:space="preserve">. </w:t>
      </w:r>
      <w:r w:rsidR="009917B6" w:rsidRPr="009917B6">
        <w:rPr>
          <w:rFonts w:asciiTheme="minorHAnsi" w:hAnsiTheme="minorHAnsi" w:cstheme="minorHAnsi"/>
          <w:i/>
          <w:iCs/>
        </w:rPr>
        <w:t>Indicator</w:t>
      </w:r>
      <w:r w:rsidR="009917B6">
        <w:rPr>
          <w:rFonts w:asciiTheme="minorHAnsi" w:hAnsiTheme="minorHAnsi" w:cstheme="minorHAnsi"/>
          <w:b/>
          <w:bCs/>
          <w:i/>
          <w:iCs/>
        </w:rPr>
        <w:t xml:space="preserve"> </w:t>
      </w:r>
      <w:r w:rsidR="00F55411" w:rsidRPr="00F55411">
        <w:rPr>
          <w:rFonts w:asciiTheme="minorHAnsi" w:hAnsiTheme="minorHAnsi" w:cstheme="minorHAnsi"/>
          <w:i/>
          <w:iCs/>
        </w:rPr>
        <w:t>w</w:t>
      </w:r>
      <w:r w:rsidRPr="00FF2809">
        <w:rPr>
          <w:rFonts w:asciiTheme="minorHAnsi" w:hAnsiTheme="minorHAnsi" w:cstheme="minorHAnsi"/>
          <w:i/>
          <w:iCs/>
        </w:rPr>
        <w:t xml:space="preserve">eights for </w:t>
      </w:r>
      <w:r w:rsidR="00F55411">
        <w:rPr>
          <w:rFonts w:asciiTheme="minorHAnsi" w:hAnsiTheme="minorHAnsi" w:cstheme="minorHAnsi"/>
          <w:i/>
          <w:iCs/>
        </w:rPr>
        <w:t>Severe Emotional Disturbance (SED), Serious Mental Illness (SMI), Substance Use Disorder (SUD) and SED/SMI/SUD (MULTI).</w:t>
      </w:r>
    </w:p>
    <w:tbl>
      <w:tblPr>
        <w:tblStyle w:val="GridTable4-Accent5"/>
        <w:tblW w:w="8341" w:type="dxa"/>
        <w:tblLook w:val="04A0" w:firstRow="1" w:lastRow="0" w:firstColumn="1" w:lastColumn="0" w:noHBand="0" w:noVBand="1"/>
      </w:tblPr>
      <w:tblGrid>
        <w:gridCol w:w="4550"/>
        <w:gridCol w:w="940"/>
        <w:gridCol w:w="950"/>
        <w:gridCol w:w="940"/>
        <w:gridCol w:w="961"/>
      </w:tblGrid>
      <w:tr w:rsidR="00A37343" w:rsidRPr="00F94935" w14:paraId="6ECF3266" w14:textId="77777777" w:rsidTr="00182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vAlign w:val="center"/>
          </w:tcPr>
          <w:p w14:paraId="24C63E29" w14:textId="5F4227B8" w:rsidR="00A37343" w:rsidRPr="0087477E" w:rsidRDefault="00A37343" w:rsidP="00B4305F">
            <w:pPr>
              <w:jc w:val="center"/>
              <w:rPr>
                <w:rFonts w:asciiTheme="minorHAnsi" w:hAnsiTheme="minorHAnsi" w:cstheme="minorHAnsi"/>
                <w:sz w:val="22"/>
                <w:szCs w:val="22"/>
              </w:rPr>
            </w:pPr>
            <w:r w:rsidRPr="0087477E">
              <w:rPr>
                <w:rFonts w:asciiTheme="minorHAnsi" w:hAnsiTheme="minorHAnsi" w:cstheme="minorHAnsi"/>
                <w:sz w:val="22"/>
                <w:szCs w:val="22"/>
              </w:rPr>
              <w:t>Indicator</w:t>
            </w:r>
          </w:p>
        </w:tc>
        <w:tc>
          <w:tcPr>
            <w:tcW w:w="940" w:type="dxa"/>
            <w:vAlign w:val="center"/>
          </w:tcPr>
          <w:p w14:paraId="62E0D93F" w14:textId="01B5568E" w:rsidR="00A37343" w:rsidRPr="0087477E" w:rsidRDefault="00A37343" w:rsidP="00B430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SED Weight</w:t>
            </w:r>
          </w:p>
        </w:tc>
        <w:tc>
          <w:tcPr>
            <w:tcW w:w="950" w:type="dxa"/>
            <w:vAlign w:val="center"/>
          </w:tcPr>
          <w:p w14:paraId="66FB1EAD" w14:textId="77777777" w:rsidR="00A37343" w:rsidRPr="0087477E" w:rsidRDefault="00A37343" w:rsidP="00B430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SMI Weight</w:t>
            </w:r>
          </w:p>
        </w:tc>
        <w:tc>
          <w:tcPr>
            <w:tcW w:w="940" w:type="dxa"/>
            <w:vAlign w:val="center"/>
          </w:tcPr>
          <w:p w14:paraId="4AD4C470" w14:textId="77777777" w:rsidR="00A37343" w:rsidRPr="0087477E" w:rsidRDefault="00A37343" w:rsidP="00B430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SUD Weight</w:t>
            </w:r>
          </w:p>
        </w:tc>
        <w:tc>
          <w:tcPr>
            <w:tcW w:w="961" w:type="dxa"/>
            <w:vAlign w:val="center"/>
          </w:tcPr>
          <w:p w14:paraId="5F80E49D" w14:textId="413ADC51" w:rsidR="00A37343" w:rsidRPr="0087477E" w:rsidRDefault="00A37343" w:rsidP="00B430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MULTI Weight</w:t>
            </w:r>
          </w:p>
        </w:tc>
      </w:tr>
      <w:tr w:rsidR="00A37343" w:rsidRPr="00F94935" w14:paraId="7A594464"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3B3C6201" w14:textId="4C94004F"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xml:space="preserve">% of population ages 18 to 64 </w:t>
            </w:r>
            <w:proofErr w:type="spellStart"/>
            <w:r w:rsidRPr="0087477E">
              <w:rPr>
                <w:rFonts w:ascii="Calibri" w:hAnsi="Calibri" w:cs="Calibri"/>
                <w:b w:val="0"/>
                <w:bCs w:val="0"/>
                <w:color w:val="000000"/>
                <w:sz w:val="22"/>
                <w:szCs w:val="22"/>
              </w:rPr>
              <w:t>yrs</w:t>
            </w:r>
            <w:proofErr w:type="spellEnd"/>
            <w:r w:rsidRPr="0087477E">
              <w:rPr>
                <w:rFonts w:ascii="Calibri" w:hAnsi="Calibri" w:cs="Calibri"/>
                <w:b w:val="0"/>
                <w:bCs w:val="0"/>
                <w:color w:val="000000"/>
                <w:sz w:val="22"/>
                <w:szCs w:val="22"/>
              </w:rPr>
              <w:t xml:space="preserve"> with household incomes below the poverty level</w:t>
            </w:r>
          </w:p>
        </w:tc>
        <w:tc>
          <w:tcPr>
            <w:tcW w:w="940" w:type="dxa"/>
            <w:vAlign w:val="center"/>
          </w:tcPr>
          <w:p w14:paraId="6C9ACA6E" w14:textId="644B63B1"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0954CD28"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154F404A"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0.062</w:t>
            </w:r>
          </w:p>
        </w:tc>
        <w:tc>
          <w:tcPr>
            <w:tcW w:w="961" w:type="dxa"/>
            <w:vAlign w:val="center"/>
          </w:tcPr>
          <w:p w14:paraId="1C6218AC"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59DF6F44"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730CCD35"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of households paying more than</w:t>
            </w:r>
          </w:p>
          <w:p w14:paraId="1248864A" w14:textId="4D2971B9"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30% of income on housing</w:t>
            </w:r>
          </w:p>
        </w:tc>
        <w:tc>
          <w:tcPr>
            <w:tcW w:w="940" w:type="dxa"/>
            <w:vAlign w:val="center"/>
          </w:tcPr>
          <w:p w14:paraId="4BF32620" w14:textId="16889F00"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4A0A7749"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0E8F074F"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201828BC"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403A6A3B"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7DEAA321"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xml:space="preserve">% of households paying more than </w:t>
            </w:r>
          </w:p>
          <w:p w14:paraId="5B40EB97" w14:textId="49FCAFA1"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50% of income on housing</w:t>
            </w:r>
          </w:p>
        </w:tc>
        <w:tc>
          <w:tcPr>
            <w:tcW w:w="940" w:type="dxa"/>
            <w:vAlign w:val="center"/>
          </w:tcPr>
          <w:p w14:paraId="34159267" w14:textId="03547CB5"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0.105</w:t>
            </w:r>
          </w:p>
        </w:tc>
        <w:tc>
          <w:tcPr>
            <w:tcW w:w="950" w:type="dxa"/>
            <w:vAlign w:val="center"/>
          </w:tcPr>
          <w:p w14:paraId="3A9E46D2"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650FB21D"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0.064</w:t>
            </w:r>
          </w:p>
        </w:tc>
        <w:tc>
          <w:tcPr>
            <w:tcW w:w="961" w:type="dxa"/>
            <w:vAlign w:val="center"/>
          </w:tcPr>
          <w:p w14:paraId="2630FBD9"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45AB94FC"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66C569C8" w14:textId="77777777" w:rsidR="001828A7" w:rsidRPr="0087477E" w:rsidRDefault="00A37343" w:rsidP="001828A7">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xml:space="preserve">% with bachelor's degree or higher </w:t>
            </w:r>
          </w:p>
          <w:p w14:paraId="27F9B82A" w14:textId="416F52B9" w:rsidR="00A37343" w:rsidRPr="0087477E" w:rsidRDefault="00A37343" w:rsidP="001828A7">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(ages 25yrs and older)</w:t>
            </w:r>
          </w:p>
        </w:tc>
        <w:tc>
          <w:tcPr>
            <w:tcW w:w="940" w:type="dxa"/>
            <w:vAlign w:val="center"/>
          </w:tcPr>
          <w:p w14:paraId="4DA01EA3" w14:textId="649AF6C4"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12C4300E"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0B743E97"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0591CE7F"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451A979A"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4D0AE616"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xml:space="preserve">% of population under 18 </w:t>
            </w:r>
            <w:proofErr w:type="spellStart"/>
            <w:r w:rsidRPr="0087477E">
              <w:rPr>
                <w:rFonts w:ascii="Calibri" w:hAnsi="Calibri" w:cs="Calibri"/>
                <w:b w:val="0"/>
                <w:bCs w:val="0"/>
                <w:color w:val="000000"/>
                <w:sz w:val="22"/>
                <w:szCs w:val="22"/>
              </w:rPr>
              <w:t>yrs</w:t>
            </w:r>
            <w:proofErr w:type="spellEnd"/>
            <w:r w:rsidRPr="0087477E">
              <w:rPr>
                <w:rFonts w:ascii="Calibri" w:hAnsi="Calibri" w:cs="Calibri"/>
                <w:b w:val="0"/>
                <w:bCs w:val="0"/>
                <w:color w:val="000000"/>
                <w:sz w:val="22"/>
                <w:szCs w:val="22"/>
              </w:rPr>
              <w:t xml:space="preserve"> living</w:t>
            </w:r>
          </w:p>
          <w:p w14:paraId="4B17172F" w14:textId="2D811B8E"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xml:space="preserve"> below the poverty level</w:t>
            </w:r>
          </w:p>
        </w:tc>
        <w:tc>
          <w:tcPr>
            <w:tcW w:w="940" w:type="dxa"/>
            <w:vAlign w:val="center"/>
          </w:tcPr>
          <w:p w14:paraId="4B8E6739" w14:textId="321AD982"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311AD4CB"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6D62367A"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6BD0D224"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0.002</w:t>
            </w:r>
          </w:p>
        </w:tc>
      </w:tr>
      <w:tr w:rsidR="00A37343" w:rsidRPr="00F94935" w14:paraId="6509B85F"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7749B68B"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xml:space="preserve">% of workers 16 </w:t>
            </w:r>
            <w:proofErr w:type="spellStart"/>
            <w:r w:rsidRPr="0087477E">
              <w:rPr>
                <w:rFonts w:ascii="Calibri" w:hAnsi="Calibri" w:cs="Calibri"/>
                <w:b w:val="0"/>
                <w:bCs w:val="0"/>
                <w:color w:val="000000"/>
                <w:sz w:val="22"/>
                <w:szCs w:val="22"/>
              </w:rPr>
              <w:t>yrs</w:t>
            </w:r>
            <w:proofErr w:type="spellEnd"/>
            <w:r w:rsidRPr="0087477E">
              <w:rPr>
                <w:rFonts w:ascii="Calibri" w:hAnsi="Calibri" w:cs="Calibri"/>
                <w:b w:val="0"/>
                <w:bCs w:val="0"/>
                <w:color w:val="000000"/>
                <w:sz w:val="22"/>
                <w:szCs w:val="22"/>
              </w:rPr>
              <w:t xml:space="preserve"> and older </w:t>
            </w:r>
          </w:p>
          <w:p w14:paraId="0F71E4C7" w14:textId="3629A91E"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who walk or bike to work</w:t>
            </w:r>
          </w:p>
        </w:tc>
        <w:tc>
          <w:tcPr>
            <w:tcW w:w="940" w:type="dxa"/>
            <w:vAlign w:val="center"/>
          </w:tcPr>
          <w:p w14:paraId="5B007ED3" w14:textId="4FE14070"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0.096</w:t>
            </w:r>
          </w:p>
        </w:tc>
        <w:tc>
          <w:tcPr>
            <w:tcW w:w="950" w:type="dxa"/>
            <w:vAlign w:val="center"/>
          </w:tcPr>
          <w:p w14:paraId="3D0E51D3"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0.131</w:t>
            </w:r>
          </w:p>
        </w:tc>
        <w:tc>
          <w:tcPr>
            <w:tcW w:w="940" w:type="dxa"/>
            <w:vAlign w:val="center"/>
          </w:tcPr>
          <w:p w14:paraId="6965D814"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0.142</w:t>
            </w:r>
          </w:p>
        </w:tc>
        <w:tc>
          <w:tcPr>
            <w:tcW w:w="961" w:type="dxa"/>
            <w:vAlign w:val="center"/>
          </w:tcPr>
          <w:p w14:paraId="031F5B99"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0.146</w:t>
            </w:r>
          </w:p>
        </w:tc>
      </w:tr>
      <w:tr w:rsidR="00A37343" w:rsidRPr="00F94935" w14:paraId="257E0124"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588AE401"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xml:space="preserve">% of workers 16 </w:t>
            </w:r>
            <w:proofErr w:type="spellStart"/>
            <w:r w:rsidRPr="0087477E">
              <w:rPr>
                <w:rFonts w:ascii="Calibri" w:hAnsi="Calibri" w:cs="Calibri"/>
                <w:b w:val="0"/>
                <w:bCs w:val="0"/>
                <w:color w:val="000000"/>
                <w:sz w:val="22"/>
                <w:szCs w:val="22"/>
              </w:rPr>
              <w:t>yrs</w:t>
            </w:r>
            <w:proofErr w:type="spellEnd"/>
            <w:r w:rsidRPr="0087477E">
              <w:rPr>
                <w:rFonts w:ascii="Calibri" w:hAnsi="Calibri" w:cs="Calibri"/>
                <w:b w:val="0"/>
                <w:bCs w:val="0"/>
                <w:color w:val="000000"/>
                <w:sz w:val="22"/>
                <w:szCs w:val="22"/>
              </w:rPr>
              <w:t xml:space="preserve"> and older who </w:t>
            </w:r>
          </w:p>
          <w:p w14:paraId="1C767C98" w14:textId="72F5BE1A"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take a car, taxi, or motorcycle to work</w:t>
            </w:r>
          </w:p>
        </w:tc>
        <w:tc>
          <w:tcPr>
            <w:tcW w:w="940" w:type="dxa"/>
            <w:vAlign w:val="center"/>
          </w:tcPr>
          <w:p w14:paraId="4823DC85" w14:textId="1F6262D6"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0.041</w:t>
            </w:r>
          </w:p>
        </w:tc>
        <w:tc>
          <w:tcPr>
            <w:tcW w:w="950" w:type="dxa"/>
            <w:vAlign w:val="center"/>
          </w:tcPr>
          <w:p w14:paraId="22CFA2B3"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12A17257"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0.039</w:t>
            </w:r>
          </w:p>
        </w:tc>
        <w:tc>
          <w:tcPr>
            <w:tcW w:w="961" w:type="dxa"/>
            <w:vAlign w:val="center"/>
          </w:tcPr>
          <w:p w14:paraId="56AC27C1"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247841B7"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11ABCCFC" w14:textId="25489997"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xml:space="preserve">% of workers 16 </w:t>
            </w:r>
            <w:proofErr w:type="spellStart"/>
            <w:r w:rsidRPr="0087477E">
              <w:rPr>
                <w:rFonts w:ascii="Calibri" w:hAnsi="Calibri" w:cs="Calibri"/>
                <w:b w:val="0"/>
                <w:bCs w:val="0"/>
                <w:color w:val="000000"/>
                <w:sz w:val="22"/>
                <w:szCs w:val="22"/>
              </w:rPr>
              <w:t>yrs</w:t>
            </w:r>
            <w:proofErr w:type="spellEnd"/>
            <w:r w:rsidRPr="0087477E">
              <w:rPr>
                <w:rFonts w:ascii="Calibri" w:hAnsi="Calibri" w:cs="Calibri"/>
                <w:b w:val="0"/>
                <w:bCs w:val="0"/>
                <w:color w:val="000000"/>
                <w:sz w:val="22"/>
                <w:szCs w:val="22"/>
              </w:rPr>
              <w:t xml:space="preserve"> and older who take public transport (bus, train, subway) to work</w:t>
            </w:r>
          </w:p>
        </w:tc>
        <w:tc>
          <w:tcPr>
            <w:tcW w:w="940" w:type="dxa"/>
            <w:vAlign w:val="center"/>
          </w:tcPr>
          <w:p w14:paraId="561038D6" w14:textId="08968653"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0.129</w:t>
            </w:r>
          </w:p>
        </w:tc>
        <w:tc>
          <w:tcPr>
            <w:tcW w:w="950" w:type="dxa"/>
            <w:vAlign w:val="center"/>
          </w:tcPr>
          <w:p w14:paraId="47613C3D"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0.144</w:t>
            </w:r>
          </w:p>
        </w:tc>
        <w:tc>
          <w:tcPr>
            <w:tcW w:w="940" w:type="dxa"/>
            <w:vAlign w:val="center"/>
          </w:tcPr>
          <w:p w14:paraId="7850C979"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4E4E1494"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0.132</w:t>
            </w:r>
          </w:p>
        </w:tc>
      </w:tr>
      <w:tr w:rsidR="00A37343" w:rsidRPr="00F94935" w14:paraId="4DD445FE"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66915C10" w14:textId="33B9588C"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Average travel time to work (min</w:t>
            </w:r>
            <w:r w:rsidR="001828A7" w:rsidRPr="0087477E">
              <w:rPr>
                <w:rFonts w:ascii="Calibri" w:hAnsi="Calibri" w:cs="Calibri"/>
                <w:b w:val="0"/>
                <w:bCs w:val="0"/>
                <w:color w:val="000000"/>
                <w:sz w:val="22"/>
                <w:szCs w:val="22"/>
              </w:rPr>
              <w:t>utes</w:t>
            </w:r>
            <w:r w:rsidRPr="0087477E">
              <w:rPr>
                <w:rFonts w:ascii="Calibri" w:hAnsi="Calibri" w:cs="Calibri"/>
                <w:b w:val="0"/>
                <w:bCs w:val="0"/>
                <w:color w:val="000000"/>
                <w:sz w:val="22"/>
                <w:szCs w:val="22"/>
              </w:rPr>
              <w:t>)</w:t>
            </w:r>
          </w:p>
        </w:tc>
        <w:tc>
          <w:tcPr>
            <w:tcW w:w="940" w:type="dxa"/>
            <w:vAlign w:val="center"/>
          </w:tcPr>
          <w:p w14:paraId="5B6FBF01" w14:textId="06E3A72F"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0.054</w:t>
            </w:r>
          </w:p>
        </w:tc>
        <w:tc>
          <w:tcPr>
            <w:tcW w:w="950" w:type="dxa"/>
            <w:vAlign w:val="center"/>
          </w:tcPr>
          <w:p w14:paraId="68FF72DC"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0.047</w:t>
            </w:r>
          </w:p>
        </w:tc>
        <w:tc>
          <w:tcPr>
            <w:tcW w:w="940" w:type="dxa"/>
            <w:vAlign w:val="center"/>
          </w:tcPr>
          <w:p w14:paraId="2AE65889"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0.044</w:t>
            </w:r>
          </w:p>
        </w:tc>
        <w:tc>
          <w:tcPr>
            <w:tcW w:w="961" w:type="dxa"/>
            <w:vAlign w:val="center"/>
          </w:tcPr>
          <w:p w14:paraId="61DF47D9"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0.042</w:t>
            </w:r>
          </w:p>
        </w:tc>
      </w:tr>
      <w:tr w:rsidR="00A37343" w:rsidRPr="00F94935" w14:paraId="1A66946E"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3DF435AD"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xml:space="preserve">% of households with more </w:t>
            </w:r>
          </w:p>
          <w:p w14:paraId="309E1143" w14:textId="6D38FAA3"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than one occupant per room</w:t>
            </w:r>
          </w:p>
        </w:tc>
        <w:tc>
          <w:tcPr>
            <w:tcW w:w="940" w:type="dxa"/>
            <w:vAlign w:val="center"/>
          </w:tcPr>
          <w:p w14:paraId="5B799B97" w14:textId="7185AF2C"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6352D89A"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0.089</w:t>
            </w:r>
          </w:p>
        </w:tc>
        <w:tc>
          <w:tcPr>
            <w:tcW w:w="940" w:type="dxa"/>
            <w:vAlign w:val="center"/>
          </w:tcPr>
          <w:p w14:paraId="7C4C8999"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0.109</w:t>
            </w:r>
          </w:p>
        </w:tc>
        <w:tc>
          <w:tcPr>
            <w:tcW w:w="961" w:type="dxa"/>
            <w:vAlign w:val="center"/>
          </w:tcPr>
          <w:p w14:paraId="1F47A3E0"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0.081</w:t>
            </w:r>
          </w:p>
        </w:tc>
      </w:tr>
      <w:tr w:rsidR="00A37343" w:rsidRPr="00F94935" w14:paraId="4A9AC366"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5EC09D8C"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with a high school diploma or highe</w:t>
            </w:r>
            <w:r w:rsidR="001828A7" w:rsidRPr="0087477E">
              <w:rPr>
                <w:rFonts w:ascii="Calibri" w:hAnsi="Calibri" w:cs="Calibri"/>
                <w:b w:val="0"/>
                <w:bCs w:val="0"/>
                <w:color w:val="000000"/>
                <w:sz w:val="22"/>
                <w:szCs w:val="22"/>
              </w:rPr>
              <w:t>r</w:t>
            </w:r>
          </w:p>
          <w:p w14:paraId="658EA743" w14:textId="0A14E5CD"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xml:space="preserve"> (ages 25yrs and older)</w:t>
            </w:r>
          </w:p>
        </w:tc>
        <w:tc>
          <w:tcPr>
            <w:tcW w:w="940" w:type="dxa"/>
            <w:vAlign w:val="center"/>
          </w:tcPr>
          <w:p w14:paraId="2D99692D" w14:textId="3B090EEF"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7164B970"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402AF293"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4AA8D907"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7F0BAF3B"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358270F9"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of population in the same residence</w:t>
            </w:r>
          </w:p>
          <w:p w14:paraId="00BF1B6B" w14:textId="6834C038"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within the past 12 months</w:t>
            </w:r>
          </w:p>
        </w:tc>
        <w:tc>
          <w:tcPr>
            <w:tcW w:w="940" w:type="dxa"/>
            <w:vAlign w:val="center"/>
          </w:tcPr>
          <w:p w14:paraId="7535491E" w14:textId="2CB39746"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0.075</w:t>
            </w:r>
          </w:p>
        </w:tc>
        <w:tc>
          <w:tcPr>
            <w:tcW w:w="950" w:type="dxa"/>
            <w:vAlign w:val="center"/>
          </w:tcPr>
          <w:p w14:paraId="1842FA37"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0.059</w:t>
            </w:r>
          </w:p>
        </w:tc>
        <w:tc>
          <w:tcPr>
            <w:tcW w:w="940" w:type="dxa"/>
            <w:vAlign w:val="center"/>
          </w:tcPr>
          <w:p w14:paraId="5C85BC43"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0.113</w:t>
            </w:r>
          </w:p>
        </w:tc>
        <w:tc>
          <w:tcPr>
            <w:tcW w:w="961" w:type="dxa"/>
            <w:vAlign w:val="center"/>
          </w:tcPr>
          <w:p w14:paraId="11943D98"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0.087</w:t>
            </w:r>
          </w:p>
        </w:tc>
      </w:tr>
      <w:tr w:rsidR="00A37343" w:rsidRPr="00F94935" w14:paraId="7A388C9D"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0CA6CD67" w14:textId="6878C4DC"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xml:space="preserve">% of population 15 </w:t>
            </w:r>
            <w:proofErr w:type="spellStart"/>
            <w:r w:rsidRPr="0087477E">
              <w:rPr>
                <w:rFonts w:ascii="Calibri" w:hAnsi="Calibri" w:cs="Calibri"/>
                <w:b w:val="0"/>
                <w:bCs w:val="0"/>
                <w:color w:val="000000"/>
                <w:sz w:val="22"/>
                <w:szCs w:val="22"/>
              </w:rPr>
              <w:t>yrs</w:t>
            </w:r>
            <w:proofErr w:type="spellEnd"/>
            <w:r w:rsidRPr="0087477E">
              <w:rPr>
                <w:rFonts w:ascii="Calibri" w:hAnsi="Calibri" w:cs="Calibri"/>
                <w:b w:val="0"/>
                <w:bCs w:val="0"/>
                <w:color w:val="000000"/>
                <w:sz w:val="22"/>
                <w:szCs w:val="22"/>
              </w:rPr>
              <w:t>+ now married (excluding those who are separated)</w:t>
            </w:r>
          </w:p>
        </w:tc>
        <w:tc>
          <w:tcPr>
            <w:tcW w:w="940" w:type="dxa"/>
            <w:vAlign w:val="center"/>
          </w:tcPr>
          <w:p w14:paraId="1FFC30CC" w14:textId="3E8B9A2F"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28E8BD61"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0.112</w:t>
            </w:r>
          </w:p>
        </w:tc>
        <w:tc>
          <w:tcPr>
            <w:tcW w:w="940" w:type="dxa"/>
            <w:vAlign w:val="center"/>
          </w:tcPr>
          <w:p w14:paraId="03B5FFB8"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781FE246"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0.104</w:t>
            </w:r>
          </w:p>
        </w:tc>
      </w:tr>
      <w:tr w:rsidR="00A37343" w:rsidRPr="00F94935" w14:paraId="4F6DF7BB"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28DD50B3" w14:textId="06F46333"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Median home value of owner</w:t>
            </w:r>
            <w:r w:rsidR="00B2778D" w:rsidRPr="0087477E">
              <w:rPr>
                <w:rFonts w:ascii="Calibri" w:hAnsi="Calibri" w:cs="Calibri"/>
                <w:b w:val="0"/>
                <w:bCs w:val="0"/>
                <w:color w:val="000000"/>
                <w:sz w:val="22"/>
                <w:szCs w:val="22"/>
              </w:rPr>
              <w:t>-</w:t>
            </w:r>
            <w:r w:rsidRPr="0087477E">
              <w:rPr>
                <w:rFonts w:ascii="Calibri" w:hAnsi="Calibri" w:cs="Calibri"/>
                <w:b w:val="0"/>
                <w:bCs w:val="0"/>
                <w:color w:val="000000"/>
                <w:sz w:val="22"/>
                <w:szCs w:val="22"/>
              </w:rPr>
              <w:t>occupied units</w:t>
            </w:r>
          </w:p>
        </w:tc>
        <w:tc>
          <w:tcPr>
            <w:tcW w:w="940" w:type="dxa"/>
            <w:vAlign w:val="center"/>
          </w:tcPr>
          <w:p w14:paraId="0DA56738" w14:textId="76229C91"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1D7593D5"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0.001</w:t>
            </w:r>
          </w:p>
        </w:tc>
        <w:tc>
          <w:tcPr>
            <w:tcW w:w="940" w:type="dxa"/>
            <w:vAlign w:val="center"/>
          </w:tcPr>
          <w:p w14:paraId="42B5069B"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0.019</w:t>
            </w:r>
          </w:p>
        </w:tc>
        <w:tc>
          <w:tcPr>
            <w:tcW w:w="961" w:type="dxa"/>
            <w:vAlign w:val="center"/>
          </w:tcPr>
          <w:p w14:paraId="35CB32F0"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209B1502"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0615E0C6" w14:textId="35A82100"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xml:space="preserve">Median annual household income </w:t>
            </w:r>
          </w:p>
        </w:tc>
        <w:tc>
          <w:tcPr>
            <w:tcW w:w="940" w:type="dxa"/>
            <w:vAlign w:val="center"/>
          </w:tcPr>
          <w:p w14:paraId="5EA19D2E" w14:textId="4D6DBDC4"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0.042</w:t>
            </w:r>
          </w:p>
        </w:tc>
        <w:tc>
          <w:tcPr>
            <w:tcW w:w="950" w:type="dxa"/>
            <w:vAlign w:val="center"/>
          </w:tcPr>
          <w:p w14:paraId="7917D1D0"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0.083</w:t>
            </w:r>
          </w:p>
        </w:tc>
        <w:tc>
          <w:tcPr>
            <w:tcW w:w="940" w:type="dxa"/>
            <w:vAlign w:val="center"/>
          </w:tcPr>
          <w:p w14:paraId="21D90C2E"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0.004</w:t>
            </w:r>
          </w:p>
        </w:tc>
        <w:tc>
          <w:tcPr>
            <w:tcW w:w="961" w:type="dxa"/>
            <w:vAlign w:val="center"/>
          </w:tcPr>
          <w:p w14:paraId="1EB4FEAE"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0.069</w:t>
            </w:r>
          </w:p>
        </w:tc>
      </w:tr>
      <w:tr w:rsidR="00A37343" w:rsidRPr="00F94935" w14:paraId="0AB596A8"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4F6D1E5E" w14:textId="1D03C589"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xml:space="preserve">% of </w:t>
            </w:r>
            <w:r w:rsidR="00102881" w:rsidRPr="0087477E">
              <w:rPr>
                <w:rFonts w:ascii="Calibri" w:hAnsi="Calibri" w:cs="Calibri"/>
                <w:b w:val="0"/>
                <w:bCs w:val="0"/>
                <w:color w:val="000000"/>
                <w:sz w:val="22"/>
                <w:szCs w:val="22"/>
              </w:rPr>
              <w:t>3- and 4-year-olds</w:t>
            </w:r>
            <w:r w:rsidRPr="0087477E">
              <w:rPr>
                <w:rFonts w:ascii="Calibri" w:hAnsi="Calibri" w:cs="Calibri"/>
                <w:b w:val="0"/>
                <w:bCs w:val="0"/>
                <w:color w:val="000000"/>
                <w:sz w:val="22"/>
                <w:szCs w:val="22"/>
              </w:rPr>
              <w:t xml:space="preserve"> not enrolled in school</w:t>
            </w:r>
          </w:p>
        </w:tc>
        <w:tc>
          <w:tcPr>
            <w:tcW w:w="940" w:type="dxa"/>
            <w:vAlign w:val="center"/>
          </w:tcPr>
          <w:p w14:paraId="1FC75CED" w14:textId="105CB3DF"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0.063</w:t>
            </w:r>
          </w:p>
        </w:tc>
        <w:tc>
          <w:tcPr>
            <w:tcW w:w="950" w:type="dxa"/>
            <w:vAlign w:val="center"/>
          </w:tcPr>
          <w:p w14:paraId="3E44C18C"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0.005</w:t>
            </w:r>
          </w:p>
        </w:tc>
        <w:tc>
          <w:tcPr>
            <w:tcW w:w="940" w:type="dxa"/>
            <w:vAlign w:val="center"/>
          </w:tcPr>
          <w:p w14:paraId="6EC1DC57"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1E2EF68F"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0.015</w:t>
            </w:r>
          </w:p>
        </w:tc>
      </w:tr>
      <w:tr w:rsidR="00A37343" w:rsidRPr="00F94935" w14:paraId="3B6C53BD"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4455F968" w14:textId="373EC9D9"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of households with no access to a vehicle</w:t>
            </w:r>
          </w:p>
        </w:tc>
        <w:tc>
          <w:tcPr>
            <w:tcW w:w="940" w:type="dxa"/>
            <w:vAlign w:val="center"/>
          </w:tcPr>
          <w:p w14:paraId="7A004C8F" w14:textId="2832EA5F"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0.089</w:t>
            </w:r>
          </w:p>
        </w:tc>
        <w:tc>
          <w:tcPr>
            <w:tcW w:w="950" w:type="dxa"/>
            <w:vAlign w:val="center"/>
          </w:tcPr>
          <w:p w14:paraId="7885FFA9"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0.033</w:t>
            </w:r>
          </w:p>
        </w:tc>
        <w:tc>
          <w:tcPr>
            <w:tcW w:w="940" w:type="dxa"/>
            <w:vAlign w:val="center"/>
          </w:tcPr>
          <w:p w14:paraId="47ADDE05"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742B47BF"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318AB7B2"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12F548B2" w14:textId="7ED2586E"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of housing units built prior to 1950</w:t>
            </w:r>
          </w:p>
        </w:tc>
        <w:tc>
          <w:tcPr>
            <w:tcW w:w="940" w:type="dxa"/>
            <w:vAlign w:val="center"/>
          </w:tcPr>
          <w:p w14:paraId="20704F86" w14:textId="314DDBC8"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0.107</w:t>
            </w:r>
          </w:p>
        </w:tc>
        <w:tc>
          <w:tcPr>
            <w:tcW w:w="950" w:type="dxa"/>
            <w:vAlign w:val="center"/>
          </w:tcPr>
          <w:p w14:paraId="0FA78E7D"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0.026</w:t>
            </w:r>
          </w:p>
        </w:tc>
        <w:tc>
          <w:tcPr>
            <w:tcW w:w="940" w:type="dxa"/>
            <w:vAlign w:val="center"/>
          </w:tcPr>
          <w:p w14:paraId="2A121DD7"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0.146</w:t>
            </w:r>
          </w:p>
        </w:tc>
        <w:tc>
          <w:tcPr>
            <w:tcW w:w="961" w:type="dxa"/>
            <w:vAlign w:val="center"/>
          </w:tcPr>
          <w:p w14:paraId="140F7F13"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0.046</w:t>
            </w:r>
          </w:p>
        </w:tc>
      </w:tr>
      <w:tr w:rsidR="00A37343" w:rsidRPr="00F94935" w14:paraId="784149EF"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052EF2C8" w14:textId="6697628E"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of households receiving public assistance (cash public assistance or Food Stamps/SNAP)</w:t>
            </w:r>
          </w:p>
        </w:tc>
        <w:tc>
          <w:tcPr>
            <w:tcW w:w="940" w:type="dxa"/>
            <w:vAlign w:val="center"/>
          </w:tcPr>
          <w:p w14:paraId="2E19C6E6" w14:textId="66F2A19D"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2DF03701"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0.015</w:t>
            </w:r>
          </w:p>
        </w:tc>
        <w:tc>
          <w:tcPr>
            <w:tcW w:w="940" w:type="dxa"/>
            <w:vAlign w:val="center"/>
          </w:tcPr>
          <w:p w14:paraId="737AE5D8"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0.101</w:t>
            </w:r>
          </w:p>
        </w:tc>
        <w:tc>
          <w:tcPr>
            <w:tcW w:w="961" w:type="dxa"/>
            <w:vAlign w:val="center"/>
          </w:tcPr>
          <w:p w14:paraId="4CD0906B"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52659BD8"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1A4C893F" w14:textId="58ACBF52"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of properties with 1 or more poor housing conditions (e.g., no plumbing, no kitchen, overcrowded, cost burdened)</w:t>
            </w:r>
          </w:p>
        </w:tc>
        <w:tc>
          <w:tcPr>
            <w:tcW w:w="940" w:type="dxa"/>
            <w:vAlign w:val="center"/>
          </w:tcPr>
          <w:p w14:paraId="5083F5E1" w14:textId="7524A7F6"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717C8816"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517D9B8B"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5AC4FE88"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38414E3B"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396F7DCB"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xml:space="preserve">% of children living in households </w:t>
            </w:r>
          </w:p>
          <w:p w14:paraId="1C274A86" w14:textId="1E68E6EB"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headed by a single</w:t>
            </w:r>
            <w:r w:rsidR="00B2778D" w:rsidRPr="0087477E">
              <w:rPr>
                <w:rFonts w:ascii="Calibri" w:hAnsi="Calibri" w:cs="Calibri"/>
                <w:b w:val="0"/>
                <w:bCs w:val="0"/>
                <w:color w:val="000000"/>
                <w:sz w:val="22"/>
                <w:szCs w:val="22"/>
              </w:rPr>
              <w:t xml:space="preserve"> </w:t>
            </w:r>
            <w:r w:rsidRPr="0087477E">
              <w:rPr>
                <w:rFonts w:ascii="Calibri" w:hAnsi="Calibri" w:cs="Calibri"/>
                <w:b w:val="0"/>
                <w:bCs w:val="0"/>
                <w:color w:val="000000"/>
                <w:sz w:val="22"/>
                <w:szCs w:val="22"/>
              </w:rPr>
              <w:t>parent</w:t>
            </w:r>
          </w:p>
        </w:tc>
        <w:tc>
          <w:tcPr>
            <w:tcW w:w="940" w:type="dxa"/>
            <w:vAlign w:val="center"/>
          </w:tcPr>
          <w:p w14:paraId="0C986187" w14:textId="0539F98D"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0.194</w:t>
            </w:r>
          </w:p>
        </w:tc>
        <w:tc>
          <w:tcPr>
            <w:tcW w:w="950" w:type="dxa"/>
            <w:vAlign w:val="center"/>
          </w:tcPr>
          <w:p w14:paraId="4CE231D0"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0.105</w:t>
            </w:r>
          </w:p>
        </w:tc>
        <w:tc>
          <w:tcPr>
            <w:tcW w:w="940" w:type="dxa"/>
            <w:vAlign w:val="center"/>
          </w:tcPr>
          <w:p w14:paraId="1C9DD421"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6DDFA81D"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0.120</w:t>
            </w:r>
          </w:p>
        </w:tc>
      </w:tr>
      <w:tr w:rsidR="00A37343" w:rsidRPr="00F94935" w14:paraId="65FAA48D"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0FA0F10A" w14:textId="77777777" w:rsidR="001828A7" w:rsidRPr="0087477E" w:rsidRDefault="00A37343" w:rsidP="00A37343">
            <w:pPr>
              <w:jc w:val="right"/>
              <w:rPr>
                <w:rFonts w:ascii="Calibri" w:hAnsi="Calibri" w:cs="Calibri"/>
                <w:b w:val="0"/>
                <w:bCs w:val="0"/>
                <w:color w:val="000000"/>
                <w:sz w:val="22"/>
                <w:szCs w:val="22"/>
              </w:rPr>
            </w:pPr>
            <w:r w:rsidRPr="0087477E">
              <w:rPr>
                <w:rFonts w:ascii="Calibri" w:hAnsi="Calibri" w:cs="Calibri"/>
                <w:b w:val="0"/>
                <w:bCs w:val="0"/>
                <w:color w:val="000000"/>
                <w:sz w:val="22"/>
                <w:szCs w:val="22"/>
              </w:rPr>
              <w:t xml:space="preserve">% of population aged 25-64 </w:t>
            </w:r>
          </w:p>
          <w:p w14:paraId="2AAA1E37" w14:textId="0539A5F9"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who are unemployed</w:t>
            </w:r>
          </w:p>
        </w:tc>
        <w:tc>
          <w:tcPr>
            <w:tcW w:w="940" w:type="dxa"/>
            <w:vAlign w:val="center"/>
          </w:tcPr>
          <w:p w14:paraId="3DA7DF46" w14:textId="2A62C84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6C2D6535"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0.114</w:t>
            </w:r>
          </w:p>
        </w:tc>
        <w:tc>
          <w:tcPr>
            <w:tcW w:w="940" w:type="dxa"/>
            <w:vAlign w:val="center"/>
          </w:tcPr>
          <w:p w14:paraId="249087DC"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57B8C216"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0.122</w:t>
            </w:r>
          </w:p>
        </w:tc>
      </w:tr>
      <w:tr w:rsidR="00A37343" w:rsidRPr="00F94935" w14:paraId="413467AB"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0BD7BFE6" w14:textId="46515759"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of civilian noninstitutionalized population ages 19-64 who are uninsured</w:t>
            </w:r>
          </w:p>
        </w:tc>
        <w:tc>
          <w:tcPr>
            <w:tcW w:w="940" w:type="dxa"/>
            <w:vAlign w:val="center"/>
          </w:tcPr>
          <w:p w14:paraId="7BDB5B38" w14:textId="5B55F653"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29477F89"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36F47EEA"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0.003</w:t>
            </w:r>
          </w:p>
        </w:tc>
        <w:tc>
          <w:tcPr>
            <w:tcW w:w="961" w:type="dxa"/>
            <w:vAlign w:val="center"/>
          </w:tcPr>
          <w:p w14:paraId="5CB5B02C"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r>
      <w:tr w:rsidR="00A37343" w:rsidRPr="00F94935" w14:paraId="105D91E7" w14:textId="77777777" w:rsidTr="001828A7">
        <w:tc>
          <w:tcPr>
            <w:cnfStyle w:val="001000000000" w:firstRow="0" w:lastRow="0" w:firstColumn="1" w:lastColumn="0" w:oddVBand="0" w:evenVBand="0" w:oddHBand="0" w:evenHBand="0" w:firstRowFirstColumn="0" w:firstRowLastColumn="0" w:lastRowFirstColumn="0" w:lastRowLastColumn="0"/>
            <w:tcW w:w="4550" w:type="dxa"/>
          </w:tcPr>
          <w:p w14:paraId="0F6DEC6E" w14:textId="3990CCBF"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of children who are uninsured</w:t>
            </w:r>
          </w:p>
        </w:tc>
        <w:tc>
          <w:tcPr>
            <w:tcW w:w="940" w:type="dxa"/>
            <w:vAlign w:val="center"/>
          </w:tcPr>
          <w:p w14:paraId="690F6603" w14:textId="6EE983B0"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50" w:type="dxa"/>
            <w:vAlign w:val="center"/>
          </w:tcPr>
          <w:p w14:paraId="0EC96C8A"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40" w:type="dxa"/>
            <w:vAlign w:val="center"/>
          </w:tcPr>
          <w:p w14:paraId="6055AFBD"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0.155</w:t>
            </w:r>
          </w:p>
        </w:tc>
        <w:tc>
          <w:tcPr>
            <w:tcW w:w="961" w:type="dxa"/>
            <w:vAlign w:val="center"/>
          </w:tcPr>
          <w:p w14:paraId="5243DC0C" w14:textId="77777777" w:rsidR="00A37343" w:rsidRPr="0087477E" w:rsidRDefault="00A37343" w:rsidP="001828A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0.006</w:t>
            </w:r>
          </w:p>
        </w:tc>
      </w:tr>
      <w:tr w:rsidR="00A37343" w:rsidRPr="00F94935" w14:paraId="7B380ECF" w14:textId="77777777" w:rsidTr="0018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0" w:type="dxa"/>
          </w:tcPr>
          <w:p w14:paraId="212805C7" w14:textId="030B85F2" w:rsidR="00A37343" w:rsidRPr="0087477E" w:rsidRDefault="00A37343" w:rsidP="00A37343">
            <w:pPr>
              <w:jc w:val="right"/>
              <w:rPr>
                <w:rFonts w:asciiTheme="minorHAnsi" w:hAnsiTheme="minorHAnsi" w:cstheme="minorHAnsi"/>
                <w:b w:val="0"/>
                <w:bCs w:val="0"/>
                <w:sz w:val="22"/>
                <w:szCs w:val="22"/>
              </w:rPr>
            </w:pPr>
            <w:r w:rsidRPr="0087477E">
              <w:rPr>
                <w:rFonts w:ascii="Calibri" w:hAnsi="Calibri" w:cs="Calibri"/>
                <w:b w:val="0"/>
                <w:bCs w:val="0"/>
                <w:color w:val="000000"/>
                <w:sz w:val="22"/>
                <w:szCs w:val="22"/>
              </w:rPr>
              <w:t>% of housing units that are vacant</w:t>
            </w:r>
          </w:p>
        </w:tc>
        <w:tc>
          <w:tcPr>
            <w:tcW w:w="940" w:type="dxa"/>
            <w:vAlign w:val="center"/>
          </w:tcPr>
          <w:p w14:paraId="1E2F565B" w14:textId="0713E43F"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0.003</w:t>
            </w:r>
          </w:p>
        </w:tc>
        <w:tc>
          <w:tcPr>
            <w:tcW w:w="950" w:type="dxa"/>
            <w:vAlign w:val="center"/>
          </w:tcPr>
          <w:p w14:paraId="1910ADDD"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0.036</w:t>
            </w:r>
          </w:p>
        </w:tc>
        <w:tc>
          <w:tcPr>
            <w:tcW w:w="940" w:type="dxa"/>
            <w:vAlign w:val="center"/>
          </w:tcPr>
          <w:p w14:paraId="2FEAB1BB"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0.0</w:t>
            </w:r>
          </w:p>
        </w:tc>
        <w:tc>
          <w:tcPr>
            <w:tcW w:w="961" w:type="dxa"/>
            <w:vAlign w:val="center"/>
          </w:tcPr>
          <w:p w14:paraId="59B1207C" w14:textId="77777777" w:rsidR="00A37343" w:rsidRPr="0087477E" w:rsidRDefault="00A37343" w:rsidP="001828A7">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0.029</w:t>
            </w:r>
          </w:p>
        </w:tc>
      </w:tr>
    </w:tbl>
    <w:p w14:paraId="1CB94EC1" w14:textId="77777777" w:rsidR="006F4B42" w:rsidRDefault="006F4B42" w:rsidP="00A206A3">
      <w:pPr>
        <w:rPr>
          <w:rFonts w:asciiTheme="minorHAnsi" w:hAnsiTheme="minorHAnsi" w:cstheme="minorHAnsi"/>
        </w:rPr>
        <w:sectPr w:rsidR="006F4B42" w:rsidSect="000A52C1">
          <w:pgSz w:w="12240" w:h="15840" w:code="1"/>
          <w:pgMar w:top="1152" w:right="1152" w:bottom="1152" w:left="1152" w:header="720" w:footer="576" w:gutter="0"/>
          <w:cols w:space="720"/>
          <w:docGrid w:linePitch="360"/>
        </w:sectPr>
      </w:pPr>
    </w:p>
    <w:p w14:paraId="61CBD05F" w14:textId="604E44BB" w:rsidR="00594AA6" w:rsidRDefault="007F622A">
      <w:r w:rsidRPr="00B4305F">
        <w:rPr>
          <w:rFonts w:asciiTheme="minorHAnsi" w:hAnsiTheme="minorHAnsi" w:cstheme="minorHAnsi"/>
          <w:b/>
          <w:bCs/>
          <w:i/>
          <w:iCs/>
        </w:rPr>
        <w:t xml:space="preserve">Table </w:t>
      </w:r>
      <w:r w:rsidR="00293252">
        <w:rPr>
          <w:rFonts w:asciiTheme="minorHAnsi" w:hAnsiTheme="minorHAnsi" w:cstheme="minorHAnsi"/>
          <w:b/>
          <w:bCs/>
          <w:i/>
          <w:iCs/>
        </w:rPr>
        <w:t>4</w:t>
      </w:r>
      <w:r w:rsidRPr="00B4305F">
        <w:rPr>
          <w:rFonts w:asciiTheme="minorHAnsi" w:hAnsiTheme="minorHAnsi" w:cstheme="minorHAnsi"/>
          <w:b/>
          <w:bCs/>
          <w:i/>
          <w:iCs/>
        </w:rPr>
        <w:t xml:space="preserve">. </w:t>
      </w:r>
      <w:r w:rsidR="00112D44" w:rsidRPr="00112D44">
        <w:rPr>
          <w:rFonts w:asciiTheme="minorHAnsi" w:hAnsiTheme="minorHAnsi" w:cstheme="minorHAnsi"/>
          <w:i/>
          <w:iCs/>
        </w:rPr>
        <w:t>Comm</w:t>
      </w:r>
      <w:r w:rsidR="00112D44">
        <w:rPr>
          <w:rFonts w:asciiTheme="minorHAnsi" w:hAnsiTheme="minorHAnsi" w:cstheme="minorHAnsi"/>
          <w:i/>
          <w:iCs/>
        </w:rPr>
        <w:t>unity Service Board (</w:t>
      </w:r>
      <w:r w:rsidRPr="00293252">
        <w:rPr>
          <w:rFonts w:asciiTheme="minorHAnsi" w:hAnsiTheme="minorHAnsi" w:cstheme="minorHAnsi"/>
          <w:i/>
          <w:iCs/>
        </w:rPr>
        <w:t>CS</w:t>
      </w:r>
      <w:r w:rsidR="00B4305F" w:rsidRPr="00293252">
        <w:rPr>
          <w:rFonts w:asciiTheme="minorHAnsi" w:hAnsiTheme="minorHAnsi" w:cstheme="minorHAnsi"/>
          <w:i/>
          <w:iCs/>
        </w:rPr>
        <w:t>B</w:t>
      </w:r>
      <w:r w:rsidR="00112D44">
        <w:rPr>
          <w:rFonts w:asciiTheme="minorHAnsi" w:hAnsiTheme="minorHAnsi" w:cstheme="minorHAnsi"/>
          <w:i/>
          <w:iCs/>
        </w:rPr>
        <w:t>)</w:t>
      </w:r>
      <w:r w:rsidR="00B4305F" w:rsidRPr="00293252">
        <w:rPr>
          <w:rFonts w:asciiTheme="minorHAnsi" w:hAnsiTheme="minorHAnsi" w:cstheme="minorHAnsi"/>
          <w:i/>
          <w:iCs/>
        </w:rPr>
        <w:t>-</w:t>
      </w:r>
      <w:r w:rsidRPr="00293252">
        <w:rPr>
          <w:rFonts w:asciiTheme="minorHAnsi" w:hAnsiTheme="minorHAnsi" w:cstheme="minorHAnsi"/>
          <w:i/>
          <w:iCs/>
        </w:rPr>
        <w:t>level</w:t>
      </w:r>
      <w:r w:rsidR="002C0132" w:rsidRPr="00293252">
        <w:rPr>
          <w:rFonts w:asciiTheme="minorHAnsi" w:hAnsiTheme="minorHAnsi" w:cstheme="minorHAnsi"/>
          <w:i/>
          <w:iCs/>
        </w:rPr>
        <w:t xml:space="preserve"> index scores</w:t>
      </w:r>
      <w:r w:rsidR="004C2EF1" w:rsidRPr="004C2EF1">
        <w:rPr>
          <w:rFonts w:asciiTheme="minorHAnsi" w:hAnsiTheme="minorHAnsi" w:cstheme="minorHAnsi"/>
          <w:i/>
          <w:iCs/>
          <w:vertAlign w:val="superscript"/>
        </w:rPr>
        <w:t>1</w:t>
      </w:r>
      <w:r w:rsidRPr="00293252">
        <w:rPr>
          <w:rFonts w:asciiTheme="minorHAnsi" w:hAnsiTheme="minorHAnsi" w:cstheme="minorHAnsi"/>
          <w:i/>
          <w:iCs/>
        </w:rPr>
        <w:t xml:space="preserve"> from weighted quantile sum regression</w:t>
      </w:r>
      <w:r w:rsidR="00B05CEA" w:rsidRPr="00293252">
        <w:rPr>
          <w:rFonts w:asciiTheme="minorHAnsi" w:hAnsiTheme="minorHAnsi" w:cstheme="minorHAnsi"/>
          <w:i/>
          <w:iCs/>
        </w:rPr>
        <w:t>.</w:t>
      </w:r>
    </w:p>
    <w:tbl>
      <w:tblPr>
        <w:tblStyle w:val="GridTable4-Accent5"/>
        <w:tblW w:w="8831" w:type="dxa"/>
        <w:tblLook w:val="04A0" w:firstRow="1" w:lastRow="0" w:firstColumn="1" w:lastColumn="0" w:noHBand="0" w:noVBand="1"/>
      </w:tblPr>
      <w:tblGrid>
        <w:gridCol w:w="4961"/>
        <w:gridCol w:w="990"/>
        <w:gridCol w:w="990"/>
        <w:gridCol w:w="900"/>
        <w:gridCol w:w="990"/>
      </w:tblGrid>
      <w:tr w:rsidR="007F622A" w:rsidRPr="00F94935" w14:paraId="3EAEB0A1" w14:textId="77777777" w:rsidTr="004D2BFA">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vAlign w:val="center"/>
            <w:hideMark/>
          </w:tcPr>
          <w:p w14:paraId="5F29A887" w14:textId="69B86371" w:rsidR="007F622A" w:rsidRPr="0087477E" w:rsidRDefault="002C0132" w:rsidP="00B4305F">
            <w:pPr>
              <w:jc w:val="center"/>
              <w:rPr>
                <w:rFonts w:asciiTheme="minorHAnsi" w:hAnsiTheme="minorHAnsi" w:cstheme="minorHAnsi"/>
                <w:sz w:val="22"/>
                <w:szCs w:val="22"/>
              </w:rPr>
            </w:pPr>
            <w:r w:rsidRPr="0087477E">
              <w:rPr>
                <w:rFonts w:asciiTheme="minorHAnsi" w:hAnsiTheme="minorHAnsi" w:cstheme="minorHAnsi"/>
                <w:sz w:val="22"/>
                <w:szCs w:val="22"/>
              </w:rPr>
              <w:t>Community Service Board (</w:t>
            </w:r>
            <w:r w:rsidR="007F622A" w:rsidRPr="0087477E">
              <w:rPr>
                <w:rFonts w:asciiTheme="minorHAnsi" w:hAnsiTheme="minorHAnsi" w:cstheme="minorHAnsi"/>
                <w:sz w:val="22"/>
                <w:szCs w:val="22"/>
              </w:rPr>
              <w:t>CSB</w:t>
            </w:r>
            <w:r w:rsidRPr="0087477E">
              <w:rPr>
                <w:rFonts w:asciiTheme="minorHAnsi" w:hAnsiTheme="minorHAnsi" w:cstheme="minorHAnsi"/>
                <w:sz w:val="22"/>
                <w:szCs w:val="22"/>
              </w:rPr>
              <w:t>)</w:t>
            </w:r>
          </w:p>
        </w:tc>
        <w:tc>
          <w:tcPr>
            <w:tcW w:w="990" w:type="dxa"/>
            <w:noWrap/>
            <w:vAlign w:val="center"/>
            <w:hideMark/>
          </w:tcPr>
          <w:p w14:paraId="5C331A1C" w14:textId="56D290FB" w:rsidR="007F622A" w:rsidRPr="0087477E" w:rsidRDefault="007F622A" w:rsidP="00B430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xml:space="preserve">SED </w:t>
            </w:r>
            <w:r w:rsidR="00D93405" w:rsidRPr="0087477E">
              <w:rPr>
                <w:rFonts w:asciiTheme="minorHAnsi" w:hAnsiTheme="minorHAnsi" w:cstheme="minorHAnsi"/>
                <w:sz w:val="22"/>
                <w:szCs w:val="22"/>
              </w:rPr>
              <w:t>Index S</w:t>
            </w:r>
            <w:r w:rsidR="00B05CEA" w:rsidRPr="0087477E">
              <w:rPr>
                <w:rFonts w:asciiTheme="minorHAnsi" w:hAnsiTheme="minorHAnsi" w:cstheme="minorHAnsi"/>
                <w:sz w:val="22"/>
                <w:szCs w:val="22"/>
              </w:rPr>
              <w:t>core</w:t>
            </w:r>
          </w:p>
        </w:tc>
        <w:tc>
          <w:tcPr>
            <w:tcW w:w="990" w:type="dxa"/>
            <w:vAlign w:val="center"/>
          </w:tcPr>
          <w:p w14:paraId="2F7D808F" w14:textId="48E62C4C" w:rsidR="007F622A" w:rsidRPr="0087477E" w:rsidRDefault="007F622A" w:rsidP="00B430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xml:space="preserve">SMI </w:t>
            </w:r>
            <w:r w:rsidR="00D93405" w:rsidRPr="0087477E">
              <w:rPr>
                <w:rFonts w:asciiTheme="minorHAnsi" w:hAnsiTheme="minorHAnsi" w:cstheme="minorHAnsi"/>
                <w:sz w:val="22"/>
                <w:szCs w:val="22"/>
              </w:rPr>
              <w:t>Index</w:t>
            </w:r>
            <w:r w:rsidRPr="0087477E">
              <w:rPr>
                <w:rFonts w:asciiTheme="minorHAnsi" w:hAnsiTheme="minorHAnsi" w:cstheme="minorHAnsi"/>
                <w:sz w:val="22"/>
                <w:szCs w:val="22"/>
              </w:rPr>
              <w:t xml:space="preserve"> </w:t>
            </w:r>
            <w:r w:rsidR="00B05CEA" w:rsidRPr="0087477E">
              <w:rPr>
                <w:rFonts w:asciiTheme="minorHAnsi" w:hAnsiTheme="minorHAnsi" w:cstheme="minorHAnsi"/>
                <w:sz w:val="22"/>
                <w:szCs w:val="22"/>
              </w:rPr>
              <w:t>Score</w:t>
            </w:r>
          </w:p>
        </w:tc>
        <w:tc>
          <w:tcPr>
            <w:tcW w:w="900" w:type="dxa"/>
            <w:vAlign w:val="center"/>
          </w:tcPr>
          <w:p w14:paraId="7CB9C65C" w14:textId="53B3BAD0" w:rsidR="007F622A" w:rsidRPr="0087477E" w:rsidRDefault="007F622A" w:rsidP="00B430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xml:space="preserve">SUD </w:t>
            </w:r>
            <w:r w:rsidR="00D93405" w:rsidRPr="0087477E">
              <w:rPr>
                <w:rFonts w:asciiTheme="minorHAnsi" w:hAnsiTheme="minorHAnsi" w:cstheme="minorHAnsi"/>
                <w:sz w:val="22"/>
                <w:szCs w:val="22"/>
              </w:rPr>
              <w:t>Index</w:t>
            </w:r>
            <w:r w:rsidRPr="0087477E">
              <w:rPr>
                <w:rFonts w:asciiTheme="minorHAnsi" w:hAnsiTheme="minorHAnsi" w:cstheme="minorHAnsi"/>
                <w:sz w:val="22"/>
                <w:szCs w:val="22"/>
              </w:rPr>
              <w:t xml:space="preserve"> </w:t>
            </w:r>
            <w:r w:rsidR="00D93405" w:rsidRPr="0087477E">
              <w:rPr>
                <w:rFonts w:asciiTheme="minorHAnsi" w:hAnsiTheme="minorHAnsi" w:cstheme="minorHAnsi"/>
                <w:sz w:val="22"/>
                <w:szCs w:val="22"/>
              </w:rPr>
              <w:t>Score</w:t>
            </w:r>
          </w:p>
        </w:tc>
        <w:tc>
          <w:tcPr>
            <w:tcW w:w="990" w:type="dxa"/>
            <w:vAlign w:val="center"/>
          </w:tcPr>
          <w:p w14:paraId="7DFBC482" w14:textId="1DA8A6AC" w:rsidR="007F622A" w:rsidRPr="0087477E" w:rsidRDefault="00D93405" w:rsidP="00B430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7477E">
              <w:rPr>
                <w:rFonts w:asciiTheme="minorHAnsi" w:hAnsiTheme="minorHAnsi" w:cstheme="minorHAnsi"/>
                <w:sz w:val="22"/>
                <w:szCs w:val="22"/>
              </w:rPr>
              <w:t xml:space="preserve">MULTI </w:t>
            </w:r>
            <w:proofErr w:type="gramStart"/>
            <w:r w:rsidRPr="0087477E">
              <w:rPr>
                <w:rFonts w:asciiTheme="minorHAnsi" w:hAnsiTheme="minorHAnsi" w:cstheme="minorHAnsi"/>
                <w:sz w:val="22"/>
                <w:szCs w:val="22"/>
              </w:rPr>
              <w:t xml:space="preserve">Index </w:t>
            </w:r>
            <w:r w:rsidR="007F622A" w:rsidRPr="0087477E">
              <w:rPr>
                <w:rFonts w:asciiTheme="minorHAnsi" w:hAnsiTheme="minorHAnsi" w:cstheme="minorHAnsi"/>
                <w:sz w:val="22"/>
                <w:szCs w:val="22"/>
              </w:rPr>
              <w:t xml:space="preserve"> </w:t>
            </w:r>
            <w:r w:rsidRPr="0087477E">
              <w:rPr>
                <w:rFonts w:asciiTheme="minorHAnsi" w:hAnsiTheme="minorHAnsi" w:cstheme="minorHAnsi"/>
                <w:sz w:val="22"/>
                <w:szCs w:val="22"/>
              </w:rPr>
              <w:t>Score</w:t>
            </w:r>
            <w:proofErr w:type="gramEnd"/>
          </w:p>
        </w:tc>
      </w:tr>
      <w:tr w:rsidR="004D2BFA" w:rsidRPr="00F94935" w14:paraId="6D8D1933"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EBADEA3" w14:textId="0A6783C2"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Alexandria CSB</w:t>
            </w:r>
          </w:p>
        </w:tc>
        <w:tc>
          <w:tcPr>
            <w:tcW w:w="990" w:type="dxa"/>
            <w:noWrap/>
          </w:tcPr>
          <w:p w14:paraId="71FBFE5C" w14:textId="3E8D07FE"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88</w:t>
            </w:r>
          </w:p>
        </w:tc>
        <w:tc>
          <w:tcPr>
            <w:tcW w:w="990" w:type="dxa"/>
          </w:tcPr>
          <w:p w14:paraId="6B5A05E2" w14:textId="7D65BFE5"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81</w:t>
            </w:r>
          </w:p>
        </w:tc>
        <w:tc>
          <w:tcPr>
            <w:tcW w:w="900" w:type="dxa"/>
          </w:tcPr>
          <w:p w14:paraId="77A08FAE" w14:textId="163B0CCD"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100</w:t>
            </w:r>
          </w:p>
        </w:tc>
        <w:tc>
          <w:tcPr>
            <w:tcW w:w="990" w:type="dxa"/>
          </w:tcPr>
          <w:p w14:paraId="65B50BA8" w14:textId="6EF445B6"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84</w:t>
            </w:r>
          </w:p>
        </w:tc>
      </w:tr>
      <w:tr w:rsidR="004D2BFA" w:rsidRPr="00F94935" w14:paraId="3F2272E0"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90CAC51"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Alleghany Highlands Community Services</w:t>
            </w:r>
          </w:p>
        </w:tc>
        <w:tc>
          <w:tcPr>
            <w:tcW w:w="990" w:type="dxa"/>
            <w:noWrap/>
          </w:tcPr>
          <w:p w14:paraId="563B83C1" w14:textId="5F4D5F6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16</w:t>
            </w:r>
          </w:p>
        </w:tc>
        <w:tc>
          <w:tcPr>
            <w:tcW w:w="990" w:type="dxa"/>
          </w:tcPr>
          <w:p w14:paraId="443A6545" w14:textId="7BBF6A04"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w:t>
            </w:r>
          </w:p>
        </w:tc>
        <w:tc>
          <w:tcPr>
            <w:tcW w:w="900" w:type="dxa"/>
          </w:tcPr>
          <w:p w14:paraId="0F4BDFF6" w14:textId="025644DB"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0</w:t>
            </w:r>
          </w:p>
        </w:tc>
        <w:tc>
          <w:tcPr>
            <w:tcW w:w="990" w:type="dxa"/>
          </w:tcPr>
          <w:p w14:paraId="6CDB9650" w14:textId="7F86D175"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w:t>
            </w:r>
          </w:p>
        </w:tc>
      </w:tr>
      <w:tr w:rsidR="004D2BFA" w:rsidRPr="00F94935" w14:paraId="03FE837F"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79DBFF0" w14:textId="33E9F635"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Arlington CSB</w:t>
            </w:r>
          </w:p>
        </w:tc>
        <w:tc>
          <w:tcPr>
            <w:tcW w:w="990" w:type="dxa"/>
            <w:noWrap/>
          </w:tcPr>
          <w:p w14:paraId="69D91561" w14:textId="1309EFC9"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100</w:t>
            </w:r>
          </w:p>
        </w:tc>
        <w:tc>
          <w:tcPr>
            <w:tcW w:w="990" w:type="dxa"/>
          </w:tcPr>
          <w:p w14:paraId="4816171C" w14:textId="7041B1FA"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100</w:t>
            </w:r>
          </w:p>
        </w:tc>
        <w:tc>
          <w:tcPr>
            <w:tcW w:w="900" w:type="dxa"/>
          </w:tcPr>
          <w:p w14:paraId="12816417" w14:textId="28AA95D4"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88</w:t>
            </w:r>
          </w:p>
        </w:tc>
        <w:tc>
          <w:tcPr>
            <w:tcW w:w="990" w:type="dxa"/>
          </w:tcPr>
          <w:p w14:paraId="08E994CF" w14:textId="22A1A7EA"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100</w:t>
            </w:r>
          </w:p>
        </w:tc>
      </w:tr>
      <w:tr w:rsidR="004D2BFA" w:rsidRPr="00F94935" w14:paraId="25817D17"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6075EC0"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Blue Ridge Behavioral Healthcare</w:t>
            </w:r>
          </w:p>
        </w:tc>
        <w:tc>
          <w:tcPr>
            <w:tcW w:w="990" w:type="dxa"/>
            <w:noWrap/>
          </w:tcPr>
          <w:p w14:paraId="73CACDC1" w14:textId="36FF003E"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29</w:t>
            </w:r>
          </w:p>
        </w:tc>
        <w:tc>
          <w:tcPr>
            <w:tcW w:w="990" w:type="dxa"/>
          </w:tcPr>
          <w:p w14:paraId="4644556E" w14:textId="2BB500F8"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13</w:t>
            </w:r>
          </w:p>
        </w:tc>
        <w:tc>
          <w:tcPr>
            <w:tcW w:w="900" w:type="dxa"/>
          </w:tcPr>
          <w:p w14:paraId="468E4197" w14:textId="5855973D"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35</w:t>
            </w:r>
          </w:p>
        </w:tc>
        <w:tc>
          <w:tcPr>
            <w:tcW w:w="990" w:type="dxa"/>
          </w:tcPr>
          <w:p w14:paraId="5A771585" w14:textId="6E6BF8A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16</w:t>
            </w:r>
          </w:p>
        </w:tc>
      </w:tr>
      <w:tr w:rsidR="004D2BFA" w:rsidRPr="00F94935" w14:paraId="638AC670"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73A892CD" w14:textId="796DE231"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Chesapeake CSB</w:t>
            </w:r>
          </w:p>
        </w:tc>
        <w:tc>
          <w:tcPr>
            <w:tcW w:w="990" w:type="dxa"/>
            <w:noWrap/>
          </w:tcPr>
          <w:p w14:paraId="2514AC33" w14:textId="69CC00DC"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34</w:t>
            </w:r>
          </w:p>
        </w:tc>
        <w:tc>
          <w:tcPr>
            <w:tcW w:w="990" w:type="dxa"/>
          </w:tcPr>
          <w:p w14:paraId="251EDF65" w14:textId="75C74E96"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15</w:t>
            </w:r>
          </w:p>
        </w:tc>
        <w:tc>
          <w:tcPr>
            <w:tcW w:w="900" w:type="dxa"/>
          </w:tcPr>
          <w:p w14:paraId="2C6CE861" w14:textId="08C94A8E"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62</w:t>
            </w:r>
          </w:p>
        </w:tc>
        <w:tc>
          <w:tcPr>
            <w:tcW w:w="990" w:type="dxa"/>
          </w:tcPr>
          <w:p w14:paraId="691B9E0A" w14:textId="376816BB"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21</w:t>
            </w:r>
          </w:p>
        </w:tc>
      </w:tr>
      <w:tr w:rsidR="004D2BFA" w:rsidRPr="00F94935" w14:paraId="3C58D96D"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DEBAA9A" w14:textId="26C659EB"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Chesterfield CSB</w:t>
            </w:r>
          </w:p>
        </w:tc>
        <w:tc>
          <w:tcPr>
            <w:tcW w:w="990" w:type="dxa"/>
            <w:noWrap/>
          </w:tcPr>
          <w:p w14:paraId="34FCAFB6" w14:textId="4A012A09"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50</w:t>
            </w:r>
          </w:p>
        </w:tc>
        <w:tc>
          <w:tcPr>
            <w:tcW w:w="990" w:type="dxa"/>
          </w:tcPr>
          <w:p w14:paraId="5CEDA3D2" w14:textId="5A2468E8"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16</w:t>
            </w:r>
          </w:p>
        </w:tc>
        <w:tc>
          <w:tcPr>
            <w:tcW w:w="900" w:type="dxa"/>
          </w:tcPr>
          <w:p w14:paraId="23B28CCD" w14:textId="50B310F2"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66</w:t>
            </w:r>
          </w:p>
        </w:tc>
        <w:tc>
          <w:tcPr>
            <w:tcW w:w="990" w:type="dxa"/>
          </w:tcPr>
          <w:p w14:paraId="13D06254" w14:textId="449763B8"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21</w:t>
            </w:r>
          </w:p>
        </w:tc>
      </w:tr>
      <w:tr w:rsidR="004D2BFA" w:rsidRPr="00F94935" w14:paraId="5A4D9603"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79A0B2E"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Colonial Behavioral Health</w:t>
            </w:r>
          </w:p>
        </w:tc>
        <w:tc>
          <w:tcPr>
            <w:tcW w:w="990" w:type="dxa"/>
            <w:noWrap/>
          </w:tcPr>
          <w:p w14:paraId="2BABC2B9" w14:textId="73455F8E"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56</w:t>
            </w:r>
          </w:p>
        </w:tc>
        <w:tc>
          <w:tcPr>
            <w:tcW w:w="990" w:type="dxa"/>
          </w:tcPr>
          <w:p w14:paraId="7759F2F8" w14:textId="247ED341"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19</w:t>
            </w:r>
          </w:p>
        </w:tc>
        <w:tc>
          <w:tcPr>
            <w:tcW w:w="900" w:type="dxa"/>
          </w:tcPr>
          <w:p w14:paraId="50CB0409" w14:textId="0257227B"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74</w:t>
            </w:r>
          </w:p>
        </w:tc>
        <w:tc>
          <w:tcPr>
            <w:tcW w:w="990" w:type="dxa"/>
          </w:tcPr>
          <w:p w14:paraId="1766B57F" w14:textId="1E031649"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26</w:t>
            </w:r>
          </w:p>
        </w:tc>
      </w:tr>
      <w:tr w:rsidR="004D2BFA" w:rsidRPr="00F94935" w14:paraId="4C21B03C"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6D80D8DD"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Crossroads Services Board</w:t>
            </w:r>
          </w:p>
        </w:tc>
        <w:tc>
          <w:tcPr>
            <w:tcW w:w="990" w:type="dxa"/>
            <w:noWrap/>
          </w:tcPr>
          <w:p w14:paraId="030C8615" w14:textId="38D8EBF6"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28</w:t>
            </w:r>
          </w:p>
        </w:tc>
        <w:tc>
          <w:tcPr>
            <w:tcW w:w="990" w:type="dxa"/>
          </w:tcPr>
          <w:p w14:paraId="12808768" w14:textId="79C1C510"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13</w:t>
            </w:r>
          </w:p>
        </w:tc>
        <w:tc>
          <w:tcPr>
            <w:tcW w:w="900" w:type="dxa"/>
          </w:tcPr>
          <w:p w14:paraId="67D767F7" w14:textId="5816CBF6"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39</w:t>
            </w:r>
          </w:p>
        </w:tc>
        <w:tc>
          <w:tcPr>
            <w:tcW w:w="990" w:type="dxa"/>
          </w:tcPr>
          <w:p w14:paraId="4DBC4EA3" w14:textId="53291D5C"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16</w:t>
            </w:r>
          </w:p>
        </w:tc>
      </w:tr>
      <w:tr w:rsidR="004D2BFA" w:rsidRPr="00F94935" w14:paraId="3FBFC606"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372D2A7"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Cumberland Mountain Community Services</w:t>
            </w:r>
          </w:p>
        </w:tc>
        <w:tc>
          <w:tcPr>
            <w:tcW w:w="990" w:type="dxa"/>
            <w:noWrap/>
          </w:tcPr>
          <w:p w14:paraId="270816E1" w14:textId="333BFA45"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25</w:t>
            </w:r>
          </w:p>
        </w:tc>
        <w:tc>
          <w:tcPr>
            <w:tcW w:w="990" w:type="dxa"/>
          </w:tcPr>
          <w:p w14:paraId="7C6270C7" w14:textId="67437F8B"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w:t>
            </w:r>
          </w:p>
        </w:tc>
        <w:tc>
          <w:tcPr>
            <w:tcW w:w="900" w:type="dxa"/>
          </w:tcPr>
          <w:p w14:paraId="678D8797" w14:textId="22E83F84"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19</w:t>
            </w:r>
          </w:p>
        </w:tc>
        <w:tc>
          <w:tcPr>
            <w:tcW w:w="990" w:type="dxa"/>
          </w:tcPr>
          <w:p w14:paraId="3B978B17" w14:textId="2A69D838"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9</w:t>
            </w:r>
          </w:p>
        </w:tc>
      </w:tr>
      <w:tr w:rsidR="004D2BFA" w:rsidRPr="00F94935" w14:paraId="7708B578"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B1CB7C3"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Danville-Pittsylvania Community Services</w:t>
            </w:r>
          </w:p>
        </w:tc>
        <w:tc>
          <w:tcPr>
            <w:tcW w:w="990" w:type="dxa"/>
            <w:noWrap/>
          </w:tcPr>
          <w:p w14:paraId="57C276AD" w14:textId="2E0E6EBD"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15</w:t>
            </w:r>
          </w:p>
        </w:tc>
        <w:tc>
          <w:tcPr>
            <w:tcW w:w="990" w:type="dxa"/>
          </w:tcPr>
          <w:p w14:paraId="5A4FA596" w14:textId="7364910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6</w:t>
            </w:r>
          </w:p>
        </w:tc>
        <w:tc>
          <w:tcPr>
            <w:tcW w:w="900" w:type="dxa"/>
          </w:tcPr>
          <w:p w14:paraId="3C90440F" w14:textId="67E9D1F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17</w:t>
            </w:r>
          </w:p>
        </w:tc>
        <w:tc>
          <w:tcPr>
            <w:tcW w:w="990" w:type="dxa"/>
          </w:tcPr>
          <w:p w14:paraId="058FC1C1" w14:textId="6873FF5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9</w:t>
            </w:r>
          </w:p>
        </w:tc>
      </w:tr>
      <w:tr w:rsidR="004D2BFA" w:rsidRPr="00F94935" w14:paraId="69D57F77"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426AAD1" w14:textId="6653F2A4"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Dickenson County Behavioral Health Services</w:t>
            </w:r>
          </w:p>
        </w:tc>
        <w:tc>
          <w:tcPr>
            <w:tcW w:w="990" w:type="dxa"/>
            <w:noWrap/>
          </w:tcPr>
          <w:p w14:paraId="7A73CEE4" w14:textId="33B2C7E5"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13</w:t>
            </w:r>
          </w:p>
        </w:tc>
        <w:tc>
          <w:tcPr>
            <w:tcW w:w="990" w:type="dxa"/>
          </w:tcPr>
          <w:p w14:paraId="47D4FF28" w14:textId="0909E083"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w:t>
            </w:r>
          </w:p>
        </w:tc>
        <w:tc>
          <w:tcPr>
            <w:tcW w:w="900" w:type="dxa"/>
          </w:tcPr>
          <w:p w14:paraId="514D84F6" w14:textId="471F8CBE"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w:t>
            </w:r>
          </w:p>
        </w:tc>
        <w:tc>
          <w:tcPr>
            <w:tcW w:w="990" w:type="dxa"/>
          </w:tcPr>
          <w:p w14:paraId="25F2ACA2" w14:textId="3132E952"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w:t>
            </w:r>
          </w:p>
        </w:tc>
      </w:tr>
      <w:tr w:rsidR="004D2BFA" w:rsidRPr="00F94935" w14:paraId="050F3582"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E87F669" w14:textId="68BDE74C"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District 19 CSB</w:t>
            </w:r>
          </w:p>
        </w:tc>
        <w:tc>
          <w:tcPr>
            <w:tcW w:w="990" w:type="dxa"/>
            <w:noWrap/>
          </w:tcPr>
          <w:p w14:paraId="0104EF7E" w14:textId="3B34A8A5"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18</w:t>
            </w:r>
          </w:p>
        </w:tc>
        <w:tc>
          <w:tcPr>
            <w:tcW w:w="990" w:type="dxa"/>
          </w:tcPr>
          <w:p w14:paraId="356463FB" w14:textId="401FD809"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16</w:t>
            </w:r>
          </w:p>
        </w:tc>
        <w:tc>
          <w:tcPr>
            <w:tcW w:w="900" w:type="dxa"/>
          </w:tcPr>
          <w:p w14:paraId="675C584B" w14:textId="0DC5A88A"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38</w:t>
            </w:r>
          </w:p>
        </w:tc>
        <w:tc>
          <w:tcPr>
            <w:tcW w:w="990" w:type="dxa"/>
          </w:tcPr>
          <w:p w14:paraId="5CB41ED2" w14:textId="7E3FAA39"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21</w:t>
            </w:r>
          </w:p>
        </w:tc>
      </w:tr>
      <w:tr w:rsidR="004D2BFA" w:rsidRPr="00F94935" w14:paraId="177F77F5"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3848030"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Eastern Shore Community Services</w:t>
            </w:r>
          </w:p>
        </w:tc>
        <w:tc>
          <w:tcPr>
            <w:tcW w:w="990" w:type="dxa"/>
            <w:noWrap/>
          </w:tcPr>
          <w:p w14:paraId="7D36819B" w14:textId="191A6E1F"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w:t>
            </w:r>
          </w:p>
        </w:tc>
        <w:tc>
          <w:tcPr>
            <w:tcW w:w="990" w:type="dxa"/>
          </w:tcPr>
          <w:p w14:paraId="2F172526" w14:textId="4FBE6BD9"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0</w:t>
            </w:r>
          </w:p>
        </w:tc>
        <w:tc>
          <w:tcPr>
            <w:tcW w:w="900" w:type="dxa"/>
          </w:tcPr>
          <w:p w14:paraId="25F8F6CD" w14:textId="3CD78400"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26</w:t>
            </w:r>
          </w:p>
        </w:tc>
        <w:tc>
          <w:tcPr>
            <w:tcW w:w="990" w:type="dxa"/>
          </w:tcPr>
          <w:p w14:paraId="5B20E1B3" w14:textId="36BDEB80"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0</w:t>
            </w:r>
          </w:p>
        </w:tc>
      </w:tr>
      <w:tr w:rsidR="004D2BFA" w:rsidRPr="00F94935" w14:paraId="48DEBBE9"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029A303" w14:textId="2E063D84"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Fairfax-Falls Church CSB</w:t>
            </w:r>
          </w:p>
        </w:tc>
        <w:tc>
          <w:tcPr>
            <w:tcW w:w="990" w:type="dxa"/>
            <w:noWrap/>
          </w:tcPr>
          <w:p w14:paraId="285F55A0" w14:textId="3B899D4C"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87</w:t>
            </w:r>
          </w:p>
        </w:tc>
        <w:tc>
          <w:tcPr>
            <w:tcW w:w="990" w:type="dxa"/>
          </w:tcPr>
          <w:p w14:paraId="6C64A30E" w14:textId="07907436"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56</w:t>
            </w:r>
          </w:p>
        </w:tc>
        <w:tc>
          <w:tcPr>
            <w:tcW w:w="900" w:type="dxa"/>
          </w:tcPr>
          <w:p w14:paraId="6BD0384F" w14:textId="29A6FF34"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97</w:t>
            </w:r>
          </w:p>
        </w:tc>
        <w:tc>
          <w:tcPr>
            <w:tcW w:w="990" w:type="dxa"/>
          </w:tcPr>
          <w:p w14:paraId="2E0D2204" w14:textId="3E76443B"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61</w:t>
            </w:r>
          </w:p>
        </w:tc>
      </w:tr>
      <w:tr w:rsidR="004D2BFA" w:rsidRPr="00F94935" w14:paraId="318AE0BD"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3DBA5EC"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Goochland-Powhatan Community Services</w:t>
            </w:r>
          </w:p>
        </w:tc>
        <w:tc>
          <w:tcPr>
            <w:tcW w:w="990" w:type="dxa"/>
            <w:noWrap/>
          </w:tcPr>
          <w:p w14:paraId="3C792521" w14:textId="40D54589"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52</w:t>
            </w:r>
          </w:p>
        </w:tc>
        <w:tc>
          <w:tcPr>
            <w:tcW w:w="990" w:type="dxa"/>
          </w:tcPr>
          <w:p w14:paraId="0E922707" w14:textId="3E2EBD74"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15</w:t>
            </w:r>
          </w:p>
        </w:tc>
        <w:tc>
          <w:tcPr>
            <w:tcW w:w="900" w:type="dxa"/>
          </w:tcPr>
          <w:p w14:paraId="17EFE853" w14:textId="463A24BD"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77</w:t>
            </w:r>
          </w:p>
        </w:tc>
        <w:tc>
          <w:tcPr>
            <w:tcW w:w="990" w:type="dxa"/>
          </w:tcPr>
          <w:p w14:paraId="69B07524" w14:textId="029AB762"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18</w:t>
            </w:r>
          </w:p>
        </w:tc>
      </w:tr>
      <w:tr w:rsidR="004D2BFA" w:rsidRPr="00F94935" w14:paraId="4CE679D9"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7DC7366" w14:textId="2CF415B2"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Hampton-Newport News CSB</w:t>
            </w:r>
          </w:p>
        </w:tc>
        <w:tc>
          <w:tcPr>
            <w:tcW w:w="990" w:type="dxa"/>
            <w:noWrap/>
          </w:tcPr>
          <w:p w14:paraId="1F43E780" w14:textId="5077CBE4"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23</w:t>
            </w:r>
          </w:p>
        </w:tc>
        <w:tc>
          <w:tcPr>
            <w:tcW w:w="990" w:type="dxa"/>
          </w:tcPr>
          <w:p w14:paraId="0B14CC01" w14:textId="09B18D6E"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24</w:t>
            </w:r>
          </w:p>
        </w:tc>
        <w:tc>
          <w:tcPr>
            <w:tcW w:w="900" w:type="dxa"/>
          </w:tcPr>
          <w:p w14:paraId="37E3062D" w14:textId="30E7233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52</w:t>
            </w:r>
          </w:p>
        </w:tc>
        <w:tc>
          <w:tcPr>
            <w:tcW w:w="990" w:type="dxa"/>
          </w:tcPr>
          <w:p w14:paraId="1B70AE96" w14:textId="18A8268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29</w:t>
            </w:r>
          </w:p>
        </w:tc>
      </w:tr>
      <w:tr w:rsidR="004D2BFA" w:rsidRPr="00F94935" w14:paraId="530F7891"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0DD4D01" w14:textId="3C6F42AB"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Hanover County CSB</w:t>
            </w:r>
          </w:p>
        </w:tc>
        <w:tc>
          <w:tcPr>
            <w:tcW w:w="990" w:type="dxa"/>
            <w:noWrap/>
          </w:tcPr>
          <w:p w14:paraId="04DFEAAC" w14:textId="35CF3159"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57</w:t>
            </w:r>
          </w:p>
        </w:tc>
        <w:tc>
          <w:tcPr>
            <w:tcW w:w="990" w:type="dxa"/>
          </w:tcPr>
          <w:p w14:paraId="1D3A6AA7" w14:textId="1BC25BF8"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12</w:t>
            </w:r>
          </w:p>
        </w:tc>
        <w:tc>
          <w:tcPr>
            <w:tcW w:w="900" w:type="dxa"/>
          </w:tcPr>
          <w:p w14:paraId="651A5BE9" w14:textId="14FDFEDD"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61</w:t>
            </w:r>
          </w:p>
        </w:tc>
        <w:tc>
          <w:tcPr>
            <w:tcW w:w="990" w:type="dxa"/>
          </w:tcPr>
          <w:p w14:paraId="3F44F248" w14:textId="4B2BD57A"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17</w:t>
            </w:r>
          </w:p>
        </w:tc>
      </w:tr>
      <w:tr w:rsidR="004D2BFA" w:rsidRPr="00F94935" w14:paraId="640369F9"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391264C" w14:textId="0567B9F9"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Harrisonburg-Rockingham CSB</w:t>
            </w:r>
          </w:p>
        </w:tc>
        <w:tc>
          <w:tcPr>
            <w:tcW w:w="990" w:type="dxa"/>
            <w:noWrap/>
          </w:tcPr>
          <w:p w14:paraId="4277005C" w14:textId="5F36A34B"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36</w:t>
            </w:r>
          </w:p>
        </w:tc>
        <w:tc>
          <w:tcPr>
            <w:tcW w:w="990" w:type="dxa"/>
          </w:tcPr>
          <w:p w14:paraId="6A559F96" w14:textId="3BB0F114"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22</w:t>
            </w:r>
          </w:p>
        </w:tc>
        <w:tc>
          <w:tcPr>
            <w:tcW w:w="900" w:type="dxa"/>
          </w:tcPr>
          <w:p w14:paraId="71D83959" w14:textId="17F7361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69</w:t>
            </w:r>
          </w:p>
        </w:tc>
        <w:tc>
          <w:tcPr>
            <w:tcW w:w="990" w:type="dxa"/>
          </w:tcPr>
          <w:p w14:paraId="0F1CEED7" w14:textId="7254A17F"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27</w:t>
            </w:r>
          </w:p>
        </w:tc>
      </w:tr>
      <w:tr w:rsidR="004D2BFA" w:rsidRPr="00F94935" w14:paraId="7A3A015F"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72055450"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Henrico Area MH &amp; Developmental Services</w:t>
            </w:r>
          </w:p>
        </w:tc>
        <w:tc>
          <w:tcPr>
            <w:tcW w:w="990" w:type="dxa"/>
            <w:noWrap/>
          </w:tcPr>
          <w:p w14:paraId="51807F9E" w14:textId="1627F8AE"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36</w:t>
            </w:r>
          </w:p>
        </w:tc>
        <w:tc>
          <w:tcPr>
            <w:tcW w:w="990" w:type="dxa"/>
          </w:tcPr>
          <w:p w14:paraId="49ACA24B" w14:textId="28C77B5D"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17</w:t>
            </w:r>
          </w:p>
        </w:tc>
        <w:tc>
          <w:tcPr>
            <w:tcW w:w="900" w:type="dxa"/>
          </w:tcPr>
          <w:p w14:paraId="7EDB0589" w14:textId="77FCFF28"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51</w:t>
            </w:r>
          </w:p>
        </w:tc>
        <w:tc>
          <w:tcPr>
            <w:tcW w:w="990" w:type="dxa"/>
          </w:tcPr>
          <w:p w14:paraId="3370675C" w14:textId="7D9CC9CD"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21</w:t>
            </w:r>
          </w:p>
        </w:tc>
      </w:tr>
      <w:tr w:rsidR="004D2BFA" w:rsidRPr="00F94935" w14:paraId="6F3470F5"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E538842"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Highlands Community Services</w:t>
            </w:r>
          </w:p>
        </w:tc>
        <w:tc>
          <w:tcPr>
            <w:tcW w:w="990" w:type="dxa"/>
            <w:noWrap/>
          </w:tcPr>
          <w:p w14:paraId="059F1170" w14:textId="4F97FF0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34</w:t>
            </w:r>
          </w:p>
        </w:tc>
        <w:tc>
          <w:tcPr>
            <w:tcW w:w="990" w:type="dxa"/>
          </w:tcPr>
          <w:p w14:paraId="426CB7C6" w14:textId="544B0059"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w:t>
            </w:r>
          </w:p>
        </w:tc>
        <w:tc>
          <w:tcPr>
            <w:tcW w:w="900" w:type="dxa"/>
          </w:tcPr>
          <w:p w14:paraId="5FD308B6" w14:textId="6620C81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30</w:t>
            </w:r>
          </w:p>
        </w:tc>
        <w:tc>
          <w:tcPr>
            <w:tcW w:w="990" w:type="dxa"/>
          </w:tcPr>
          <w:p w14:paraId="3E020988" w14:textId="565C2809"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13</w:t>
            </w:r>
          </w:p>
        </w:tc>
      </w:tr>
      <w:tr w:rsidR="004D2BFA" w:rsidRPr="00F94935" w14:paraId="5A272168"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9DE5CF1"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Horizon Behavioral Health</w:t>
            </w:r>
          </w:p>
        </w:tc>
        <w:tc>
          <w:tcPr>
            <w:tcW w:w="990" w:type="dxa"/>
            <w:noWrap/>
          </w:tcPr>
          <w:p w14:paraId="72A05FCA" w14:textId="3B896904"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36</w:t>
            </w:r>
          </w:p>
        </w:tc>
        <w:tc>
          <w:tcPr>
            <w:tcW w:w="990" w:type="dxa"/>
          </w:tcPr>
          <w:p w14:paraId="0D87CB36" w14:textId="7572928E"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11</w:t>
            </w:r>
          </w:p>
        </w:tc>
        <w:tc>
          <w:tcPr>
            <w:tcW w:w="900" w:type="dxa"/>
          </w:tcPr>
          <w:p w14:paraId="2D8B8FCA" w14:textId="45ED9AE4"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47</w:t>
            </w:r>
          </w:p>
        </w:tc>
        <w:tc>
          <w:tcPr>
            <w:tcW w:w="990" w:type="dxa"/>
          </w:tcPr>
          <w:p w14:paraId="5E18028F" w14:textId="2E82EAC0"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15</w:t>
            </w:r>
          </w:p>
        </w:tc>
      </w:tr>
      <w:tr w:rsidR="004D2BFA" w:rsidRPr="00F94935" w14:paraId="51CCC9CE"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A397D7B"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Loudoun County CSB</w:t>
            </w:r>
          </w:p>
        </w:tc>
        <w:tc>
          <w:tcPr>
            <w:tcW w:w="990" w:type="dxa"/>
            <w:noWrap/>
          </w:tcPr>
          <w:p w14:paraId="7A8FA455" w14:textId="673FDCD9"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84</w:t>
            </w:r>
          </w:p>
        </w:tc>
        <w:tc>
          <w:tcPr>
            <w:tcW w:w="990" w:type="dxa"/>
          </w:tcPr>
          <w:p w14:paraId="73A04A1C" w14:textId="1175F68A"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39</w:t>
            </w:r>
          </w:p>
        </w:tc>
        <w:tc>
          <w:tcPr>
            <w:tcW w:w="900" w:type="dxa"/>
          </w:tcPr>
          <w:p w14:paraId="6748107A" w14:textId="40C9D6A3"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90</w:t>
            </w:r>
          </w:p>
        </w:tc>
        <w:tc>
          <w:tcPr>
            <w:tcW w:w="990" w:type="dxa"/>
          </w:tcPr>
          <w:p w14:paraId="52ACFF59" w14:textId="0BF6B79F"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44</w:t>
            </w:r>
          </w:p>
        </w:tc>
      </w:tr>
      <w:tr w:rsidR="004D2BFA" w:rsidRPr="00F94935" w14:paraId="412753FA"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866C0D3"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Middle Peninsula-Northern Neck CSB</w:t>
            </w:r>
          </w:p>
        </w:tc>
        <w:tc>
          <w:tcPr>
            <w:tcW w:w="990" w:type="dxa"/>
            <w:noWrap/>
          </w:tcPr>
          <w:p w14:paraId="59002216" w14:textId="79604B5C"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36</w:t>
            </w:r>
          </w:p>
        </w:tc>
        <w:tc>
          <w:tcPr>
            <w:tcW w:w="990" w:type="dxa"/>
          </w:tcPr>
          <w:p w14:paraId="7528921C" w14:textId="44EF480C"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w:t>
            </w:r>
          </w:p>
        </w:tc>
        <w:tc>
          <w:tcPr>
            <w:tcW w:w="900" w:type="dxa"/>
          </w:tcPr>
          <w:p w14:paraId="307A407F" w14:textId="1BAAD0DC"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47</w:t>
            </w:r>
          </w:p>
        </w:tc>
        <w:tc>
          <w:tcPr>
            <w:tcW w:w="990" w:type="dxa"/>
          </w:tcPr>
          <w:p w14:paraId="5D091995" w14:textId="45EDD34C"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11</w:t>
            </w:r>
          </w:p>
        </w:tc>
      </w:tr>
      <w:tr w:rsidR="004D2BFA" w:rsidRPr="00F94935" w14:paraId="7D507586"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CCD7869" w14:textId="1A559BFF"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Mt. Rogers Community MH &amp; MR Services Board</w:t>
            </w:r>
          </w:p>
        </w:tc>
        <w:tc>
          <w:tcPr>
            <w:tcW w:w="990" w:type="dxa"/>
            <w:noWrap/>
          </w:tcPr>
          <w:p w14:paraId="11911EC7" w14:textId="751FFC96"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25</w:t>
            </w:r>
          </w:p>
        </w:tc>
        <w:tc>
          <w:tcPr>
            <w:tcW w:w="990" w:type="dxa"/>
          </w:tcPr>
          <w:p w14:paraId="0756687A" w14:textId="53667FCA"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w:t>
            </w:r>
          </w:p>
        </w:tc>
        <w:tc>
          <w:tcPr>
            <w:tcW w:w="900" w:type="dxa"/>
          </w:tcPr>
          <w:p w14:paraId="18F2BBEE" w14:textId="4BDAD0BF"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30</w:t>
            </w:r>
          </w:p>
        </w:tc>
        <w:tc>
          <w:tcPr>
            <w:tcW w:w="990" w:type="dxa"/>
          </w:tcPr>
          <w:p w14:paraId="3320685D" w14:textId="69EA39B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w:t>
            </w:r>
          </w:p>
        </w:tc>
      </w:tr>
      <w:tr w:rsidR="004D2BFA" w:rsidRPr="00F94935" w14:paraId="1EEE51F9"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2B9894C"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New River Valley Community Services</w:t>
            </w:r>
          </w:p>
        </w:tc>
        <w:tc>
          <w:tcPr>
            <w:tcW w:w="990" w:type="dxa"/>
            <w:noWrap/>
          </w:tcPr>
          <w:p w14:paraId="72D4E693" w14:textId="14642D8D"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43</w:t>
            </w:r>
          </w:p>
        </w:tc>
        <w:tc>
          <w:tcPr>
            <w:tcW w:w="990" w:type="dxa"/>
          </w:tcPr>
          <w:p w14:paraId="6C9E778E" w14:textId="090BC3B5"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27</w:t>
            </w:r>
          </w:p>
        </w:tc>
        <w:tc>
          <w:tcPr>
            <w:tcW w:w="900" w:type="dxa"/>
          </w:tcPr>
          <w:p w14:paraId="165D80FE" w14:textId="2A59F0DB"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48</w:t>
            </w:r>
          </w:p>
        </w:tc>
        <w:tc>
          <w:tcPr>
            <w:tcW w:w="990" w:type="dxa"/>
          </w:tcPr>
          <w:p w14:paraId="1C2A543C" w14:textId="742E3FE9"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33</w:t>
            </w:r>
          </w:p>
        </w:tc>
      </w:tr>
      <w:tr w:rsidR="004D2BFA" w:rsidRPr="00F94935" w14:paraId="55C89750"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37CB7E92" w14:textId="6A759302"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Norfolk CSB</w:t>
            </w:r>
          </w:p>
        </w:tc>
        <w:tc>
          <w:tcPr>
            <w:tcW w:w="990" w:type="dxa"/>
            <w:noWrap/>
          </w:tcPr>
          <w:p w14:paraId="14C37AF6" w14:textId="7620EFC8"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12</w:t>
            </w:r>
          </w:p>
        </w:tc>
        <w:tc>
          <w:tcPr>
            <w:tcW w:w="990" w:type="dxa"/>
          </w:tcPr>
          <w:p w14:paraId="2A50F3A1" w14:textId="38CC4C9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39</w:t>
            </w:r>
          </w:p>
        </w:tc>
        <w:tc>
          <w:tcPr>
            <w:tcW w:w="900" w:type="dxa"/>
          </w:tcPr>
          <w:p w14:paraId="7E9F2D2B" w14:textId="39CA2283"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44</w:t>
            </w:r>
          </w:p>
        </w:tc>
        <w:tc>
          <w:tcPr>
            <w:tcW w:w="990" w:type="dxa"/>
          </w:tcPr>
          <w:p w14:paraId="3B94C7FA" w14:textId="41708955"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43</w:t>
            </w:r>
          </w:p>
        </w:tc>
      </w:tr>
      <w:tr w:rsidR="004D2BFA" w:rsidRPr="00F94935" w14:paraId="32FD02CB"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0B61BB92"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Northwestern Community Services</w:t>
            </w:r>
          </w:p>
        </w:tc>
        <w:tc>
          <w:tcPr>
            <w:tcW w:w="990" w:type="dxa"/>
            <w:noWrap/>
          </w:tcPr>
          <w:p w14:paraId="3F658BE8" w14:textId="6AD42F0F"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37</w:t>
            </w:r>
          </w:p>
        </w:tc>
        <w:tc>
          <w:tcPr>
            <w:tcW w:w="990" w:type="dxa"/>
          </w:tcPr>
          <w:p w14:paraId="35B52224" w14:textId="4A950B01"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15</w:t>
            </w:r>
          </w:p>
        </w:tc>
        <w:tc>
          <w:tcPr>
            <w:tcW w:w="900" w:type="dxa"/>
          </w:tcPr>
          <w:p w14:paraId="00EB9746" w14:textId="2B035347"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53</w:t>
            </w:r>
          </w:p>
        </w:tc>
        <w:tc>
          <w:tcPr>
            <w:tcW w:w="990" w:type="dxa"/>
          </w:tcPr>
          <w:p w14:paraId="691703E3" w14:textId="14DF9AE2"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18</w:t>
            </w:r>
          </w:p>
        </w:tc>
      </w:tr>
      <w:tr w:rsidR="004D2BFA" w:rsidRPr="00F94935" w14:paraId="1711755A"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F60F732"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Piedmont Community Services</w:t>
            </w:r>
          </w:p>
        </w:tc>
        <w:tc>
          <w:tcPr>
            <w:tcW w:w="990" w:type="dxa"/>
            <w:noWrap/>
          </w:tcPr>
          <w:p w14:paraId="35F7FDA6" w14:textId="42543C42"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27</w:t>
            </w:r>
          </w:p>
        </w:tc>
        <w:tc>
          <w:tcPr>
            <w:tcW w:w="990" w:type="dxa"/>
          </w:tcPr>
          <w:p w14:paraId="05CAA3E6" w14:textId="59E6545D"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w:t>
            </w:r>
          </w:p>
        </w:tc>
        <w:tc>
          <w:tcPr>
            <w:tcW w:w="900" w:type="dxa"/>
          </w:tcPr>
          <w:p w14:paraId="49FE52D2" w14:textId="3FF5B23B"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35</w:t>
            </w:r>
          </w:p>
        </w:tc>
        <w:tc>
          <w:tcPr>
            <w:tcW w:w="990" w:type="dxa"/>
          </w:tcPr>
          <w:p w14:paraId="3CBC18D5" w14:textId="14801EE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12</w:t>
            </w:r>
          </w:p>
        </w:tc>
      </w:tr>
      <w:tr w:rsidR="004D2BFA" w:rsidRPr="00F94935" w14:paraId="54E0B23D"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3CFCC99"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Planning District 1 Behavioral Health Services</w:t>
            </w:r>
          </w:p>
        </w:tc>
        <w:tc>
          <w:tcPr>
            <w:tcW w:w="990" w:type="dxa"/>
            <w:noWrap/>
          </w:tcPr>
          <w:p w14:paraId="25E8C753" w14:textId="7334D2BF"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19</w:t>
            </w:r>
          </w:p>
        </w:tc>
        <w:tc>
          <w:tcPr>
            <w:tcW w:w="990" w:type="dxa"/>
          </w:tcPr>
          <w:p w14:paraId="6E338867" w14:textId="496D4B72"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w:t>
            </w:r>
          </w:p>
        </w:tc>
        <w:tc>
          <w:tcPr>
            <w:tcW w:w="900" w:type="dxa"/>
          </w:tcPr>
          <w:p w14:paraId="4A04BBAC" w14:textId="3309A080"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w:t>
            </w:r>
          </w:p>
        </w:tc>
        <w:tc>
          <w:tcPr>
            <w:tcW w:w="990" w:type="dxa"/>
          </w:tcPr>
          <w:p w14:paraId="32A090D3" w14:textId="44AF8DE0"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12</w:t>
            </w:r>
          </w:p>
        </w:tc>
      </w:tr>
      <w:tr w:rsidR="004D2BFA" w:rsidRPr="00F94935" w14:paraId="5F15CE6B"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4B22A1DB" w14:textId="271A277A"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Portsmouth Dept. of Behavioral Healthcare Services</w:t>
            </w:r>
          </w:p>
        </w:tc>
        <w:tc>
          <w:tcPr>
            <w:tcW w:w="990" w:type="dxa"/>
            <w:noWrap/>
          </w:tcPr>
          <w:p w14:paraId="0AA82448" w14:textId="1890ACE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w:t>
            </w:r>
          </w:p>
        </w:tc>
        <w:tc>
          <w:tcPr>
            <w:tcW w:w="990" w:type="dxa"/>
          </w:tcPr>
          <w:p w14:paraId="6F8489D6" w14:textId="6D4FF416"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20</w:t>
            </w:r>
          </w:p>
        </w:tc>
        <w:tc>
          <w:tcPr>
            <w:tcW w:w="900" w:type="dxa"/>
          </w:tcPr>
          <w:p w14:paraId="4AA8D2F9" w14:textId="3FBFE7A5"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26</w:t>
            </w:r>
          </w:p>
        </w:tc>
        <w:tc>
          <w:tcPr>
            <w:tcW w:w="990" w:type="dxa"/>
          </w:tcPr>
          <w:p w14:paraId="49B27A97" w14:textId="1D53CD6E"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22</w:t>
            </w:r>
          </w:p>
        </w:tc>
      </w:tr>
      <w:tr w:rsidR="004D2BFA" w:rsidRPr="00F94935" w14:paraId="6A9BE92E"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629CB75C"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Prince William County Community Services Bd.</w:t>
            </w:r>
          </w:p>
        </w:tc>
        <w:tc>
          <w:tcPr>
            <w:tcW w:w="990" w:type="dxa"/>
            <w:noWrap/>
          </w:tcPr>
          <w:p w14:paraId="3133321E" w14:textId="22BF77E3"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72</w:t>
            </w:r>
          </w:p>
        </w:tc>
        <w:tc>
          <w:tcPr>
            <w:tcW w:w="990" w:type="dxa"/>
          </w:tcPr>
          <w:p w14:paraId="14167FBE" w14:textId="58296636"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41</w:t>
            </w:r>
          </w:p>
        </w:tc>
        <w:tc>
          <w:tcPr>
            <w:tcW w:w="900" w:type="dxa"/>
          </w:tcPr>
          <w:p w14:paraId="3E2F6381" w14:textId="7171501C"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93</w:t>
            </w:r>
          </w:p>
        </w:tc>
        <w:tc>
          <w:tcPr>
            <w:tcW w:w="990" w:type="dxa"/>
          </w:tcPr>
          <w:p w14:paraId="3B0930A4" w14:textId="689A4583"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47</w:t>
            </w:r>
          </w:p>
        </w:tc>
      </w:tr>
      <w:tr w:rsidR="004D2BFA" w:rsidRPr="00F94935" w14:paraId="07DC105B"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7A4D6F3C" w14:textId="3F7968FA"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Rappahannock Area CSB</w:t>
            </w:r>
          </w:p>
        </w:tc>
        <w:tc>
          <w:tcPr>
            <w:tcW w:w="990" w:type="dxa"/>
            <w:noWrap/>
          </w:tcPr>
          <w:p w14:paraId="07B155B9" w14:textId="4D6799A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64</w:t>
            </w:r>
          </w:p>
        </w:tc>
        <w:tc>
          <w:tcPr>
            <w:tcW w:w="990" w:type="dxa"/>
          </w:tcPr>
          <w:p w14:paraId="393256AD" w14:textId="0135307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29</w:t>
            </w:r>
          </w:p>
        </w:tc>
        <w:tc>
          <w:tcPr>
            <w:tcW w:w="900" w:type="dxa"/>
          </w:tcPr>
          <w:p w14:paraId="5B33F4BA" w14:textId="643FFE6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78</w:t>
            </w:r>
          </w:p>
        </w:tc>
        <w:tc>
          <w:tcPr>
            <w:tcW w:w="990" w:type="dxa"/>
          </w:tcPr>
          <w:p w14:paraId="73406127" w14:textId="1E81A271"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35</w:t>
            </w:r>
          </w:p>
        </w:tc>
      </w:tr>
      <w:tr w:rsidR="004D2BFA" w:rsidRPr="00F94935" w14:paraId="47E16E11"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06C17DA" w14:textId="2BA3DDB0"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Rappahannock-Rapidan CSB</w:t>
            </w:r>
          </w:p>
        </w:tc>
        <w:tc>
          <w:tcPr>
            <w:tcW w:w="990" w:type="dxa"/>
            <w:noWrap/>
          </w:tcPr>
          <w:p w14:paraId="6DDBC0C9" w14:textId="661BA19F"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53</w:t>
            </w:r>
          </w:p>
        </w:tc>
        <w:tc>
          <w:tcPr>
            <w:tcW w:w="990" w:type="dxa"/>
          </w:tcPr>
          <w:p w14:paraId="227FE0DF" w14:textId="1B00989E"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22</w:t>
            </w:r>
          </w:p>
        </w:tc>
        <w:tc>
          <w:tcPr>
            <w:tcW w:w="900" w:type="dxa"/>
          </w:tcPr>
          <w:p w14:paraId="1EE29C9C" w14:textId="6C5CB820"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68</w:t>
            </w:r>
          </w:p>
        </w:tc>
        <w:tc>
          <w:tcPr>
            <w:tcW w:w="990" w:type="dxa"/>
          </w:tcPr>
          <w:p w14:paraId="769EDF17" w14:textId="6552DA56"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26</w:t>
            </w:r>
          </w:p>
        </w:tc>
      </w:tr>
      <w:tr w:rsidR="004D2BFA" w:rsidRPr="00F94935" w14:paraId="1BF1E6AC"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E484DA1" w14:textId="42314CBB"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Region Ten CSB</w:t>
            </w:r>
          </w:p>
        </w:tc>
        <w:tc>
          <w:tcPr>
            <w:tcW w:w="990" w:type="dxa"/>
            <w:noWrap/>
          </w:tcPr>
          <w:p w14:paraId="26D6EFF5" w14:textId="2479AA2C"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49</w:t>
            </w:r>
          </w:p>
        </w:tc>
        <w:tc>
          <w:tcPr>
            <w:tcW w:w="990" w:type="dxa"/>
          </w:tcPr>
          <w:p w14:paraId="1EC05502" w14:textId="1F5B9F3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28</w:t>
            </w:r>
          </w:p>
        </w:tc>
        <w:tc>
          <w:tcPr>
            <w:tcW w:w="900" w:type="dxa"/>
          </w:tcPr>
          <w:p w14:paraId="538A00BF" w14:textId="74EEFA59"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70</w:t>
            </w:r>
          </w:p>
        </w:tc>
        <w:tc>
          <w:tcPr>
            <w:tcW w:w="990" w:type="dxa"/>
          </w:tcPr>
          <w:p w14:paraId="704B831D" w14:textId="2200F234"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33</w:t>
            </w:r>
          </w:p>
        </w:tc>
      </w:tr>
      <w:tr w:rsidR="004D2BFA" w:rsidRPr="00F94935" w14:paraId="066BB4D4"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2A2B2722"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Richmond Behavioral Health Authority</w:t>
            </w:r>
          </w:p>
        </w:tc>
        <w:tc>
          <w:tcPr>
            <w:tcW w:w="990" w:type="dxa"/>
            <w:noWrap/>
          </w:tcPr>
          <w:p w14:paraId="5489043D" w14:textId="72ED2A2F"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0</w:t>
            </w:r>
          </w:p>
        </w:tc>
        <w:tc>
          <w:tcPr>
            <w:tcW w:w="990" w:type="dxa"/>
          </w:tcPr>
          <w:p w14:paraId="27747D8A" w14:textId="13A9E072"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35</w:t>
            </w:r>
          </w:p>
        </w:tc>
        <w:tc>
          <w:tcPr>
            <w:tcW w:w="900" w:type="dxa"/>
          </w:tcPr>
          <w:p w14:paraId="3B00E7C2" w14:textId="5AFBA9CD"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24</w:t>
            </w:r>
          </w:p>
        </w:tc>
        <w:tc>
          <w:tcPr>
            <w:tcW w:w="990" w:type="dxa"/>
          </w:tcPr>
          <w:p w14:paraId="2CC7C20A" w14:textId="463A2F9C"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36</w:t>
            </w:r>
          </w:p>
        </w:tc>
      </w:tr>
      <w:tr w:rsidR="004D2BFA" w:rsidRPr="00F94935" w14:paraId="7C2969C7"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6D04EF85"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Rockbridge Area Community Services</w:t>
            </w:r>
          </w:p>
        </w:tc>
        <w:tc>
          <w:tcPr>
            <w:tcW w:w="990" w:type="dxa"/>
            <w:noWrap/>
          </w:tcPr>
          <w:p w14:paraId="7165BE98" w14:textId="02F0D920"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28</w:t>
            </w:r>
          </w:p>
        </w:tc>
        <w:tc>
          <w:tcPr>
            <w:tcW w:w="990" w:type="dxa"/>
          </w:tcPr>
          <w:p w14:paraId="674DC208" w14:textId="1019752C"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13</w:t>
            </w:r>
          </w:p>
        </w:tc>
        <w:tc>
          <w:tcPr>
            <w:tcW w:w="900" w:type="dxa"/>
          </w:tcPr>
          <w:p w14:paraId="2D198DA4" w14:textId="0C5AF19B"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37</w:t>
            </w:r>
          </w:p>
        </w:tc>
        <w:tc>
          <w:tcPr>
            <w:tcW w:w="990" w:type="dxa"/>
          </w:tcPr>
          <w:p w14:paraId="485B9329" w14:textId="74976D38"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17</w:t>
            </w:r>
          </w:p>
        </w:tc>
      </w:tr>
      <w:tr w:rsidR="004D2BFA" w:rsidRPr="00F94935" w14:paraId="0F961FD2"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5BCBE7FC" w14:textId="6B69F6DF"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Southside CSB</w:t>
            </w:r>
          </w:p>
        </w:tc>
        <w:tc>
          <w:tcPr>
            <w:tcW w:w="990" w:type="dxa"/>
            <w:noWrap/>
          </w:tcPr>
          <w:p w14:paraId="388F8F94" w14:textId="4902AB43"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11</w:t>
            </w:r>
          </w:p>
        </w:tc>
        <w:tc>
          <w:tcPr>
            <w:tcW w:w="990" w:type="dxa"/>
          </w:tcPr>
          <w:p w14:paraId="76840338" w14:textId="3626E951"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0</w:t>
            </w:r>
          </w:p>
        </w:tc>
        <w:tc>
          <w:tcPr>
            <w:tcW w:w="900" w:type="dxa"/>
          </w:tcPr>
          <w:p w14:paraId="417C6F1C" w14:textId="3F648FB4"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17</w:t>
            </w:r>
          </w:p>
        </w:tc>
        <w:tc>
          <w:tcPr>
            <w:tcW w:w="990" w:type="dxa"/>
          </w:tcPr>
          <w:p w14:paraId="5DBF5113" w14:textId="134D3ACD"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w:t>
            </w:r>
          </w:p>
        </w:tc>
      </w:tr>
      <w:tr w:rsidR="004D2BFA" w:rsidRPr="00F94935" w14:paraId="0C1158F6"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0D4F6D92" w14:textId="7A77D2F0"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Valley CSB</w:t>
            </w:r>
          </w:p>
        </w:tc>
        <w:tc>
          <w:tcPr>
            <w:tcW w:w="990" w:type="dxa"/>
            <w:noWrap/>
          </w:tcPr>
          <w:p w14:paraId="3B2B28F2" w14:textId="60F6BACA"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31</w:t>
            </w:r>
          </w:p>
        </w:tc>
        <w:tc>
          <w:tcPr>
            <w:tcW w:w="990" w:type="dxa"/>
          </w:tcPr>
          <w:p w14:paraId="01CE9A85" w14:textId="6F35AB72"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8</w:t>
            </w:r>
          </w:p>
        </w:tc>
        <w:tc>
          <w:tcPr>
            <w:tcW w:w="900" w:type="dxa"/>
          </w:tcPr>
          <w:p w14:paraId="6E0A822E" w14:textId="6FE8F648"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42</w:t>
            </w:r>
          </w:p>
        </w:tc>
        <w:tc>
          <w:tcPr>
            <w:tcW w:w="990" w:type="dxa"/>
          </w:tcPr>
          <w:p w14:paraId="243122D0" w14:textId="60A99E83"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12</w:t>
            </w:r>
          </w:p>
        </w:tc>
      </w:tr>
      <w:tr w:rsidR="004D2BFA" w:rsidRPr="00F94935" w14:paraId="42965BE4" w14:textId="77777777" w:rsidTr="004D2BF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08E8F37" w14:textId="77777777"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Virginia Beach Department of Human Services</w:t>
            </w:r>
          </w:p>
        </w:tc>
        <w:tc>
          <w:tcPr>
            <w:tcW w:w="990" w:type="dxa"/>
            <w:noWrap/>
          </w:tcPr>
          <w:p w14:paraId="4818ED26" w14:textId="4ABC9696"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48</w:t>
            </w:r>
          </w:p>
        </w:tc>
        <w:tc>
          <w:tcPr>
            <w:tcW w:w="990" w:type="dxa"/>
          </w:tcPr>
          <w:p w14:paraId="7F4E9F2C" w14:textId="0A28222E"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18</w:t>
            </w:r>
          </w:p>
        </w:tc>
        <w:tc>
          <w:tcPr>
            <w:tcW w:w="900" w:type="dxa"/>
          </w:tcPr>
          <w:p w14:paraId="063D490F" w14:textId="54B1F257"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71</w:t>
            </w:r>
          </w:p>
        </w:tc>
        <w:tc>
          <w:tcPr>
            <w:tcW w:w="990" w:type="dxa"/>
          </w:tcPr>
          <w:p w14:paraId="7828717A" w14:textId="372B5083" w:rsidR="004D2BFA" w:rsidRPr="004D2BFA" w:rsidRDefault="004D2BFA" w:rsidP="004D2B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25</w:t>
            </w:r>
          </w:p>
        </w:tc>
      </w:tr>
      <w:tr w:rsidR="004D2BFA" w:rsidRPr="00F94935" w14:paraId="66800F75" w14:textId="77777777" w:rsidTr="004D2BFA">
        <w:trPr>
          <w:trHeight w:val="290"/>
        </w:trPr>
        <w:tc>
          <w:tcPr>
            <w:cnfStyle w:val="001000000000" w:firstRow="0" w:lastRow="0" w:firstColumn="1" w:lastColumn="0" w:oddVBand="0" w:evenVBand="0" w:oddHBand="0" w:evenHBand="0" w:firstRowFirstColumn="0" w:firstRowLastColumn="0" w:lastRowFirstColumn="0" w:lastRowLastColumn="0"/>
            <w:tcW w:w="4961" w:type="dxa"/>
            <w:noWrap/>
            <w:hideMark/>
          </w:tcPr>
          <w:p w14:paraId="1D501C5C" w14:textId="1946C820" w:rsidR="004D2BFA" w:rsidRPr="0087477E" w:rsidRDefault="004D2BFA" w:rsidP="004D2BFA">
            <w:pPr>
              <w:jc w:val="right"/>
              <w:rPr>
                <w:rFonts w:asciiTheme="minorHAnsi" w:hAnsiTheme="minorHAnsi" w:cstheme="minorHAnsi"/>
                <w:b w:val="0"/>
                <w:bCs w:val="0"/>
                <w:color w:val="000000"/>
                <w:sz w:val="22"/>
                <w:szCs w:val="22"/>
              </w:rPr>
            </w:pPr>
            <w:r w:rsidRPr="0087477E">
              <w:rPr>
                <w:rFonts w:asciiTheme="minorHAnsi" w:hAnsiTheme="minorHAnsi" w:cstheme="minorHAnsi"/>
                <w:b w:val="0"/>
                <w:bCs w:val="0"/>
                <w:color w:val="000000"/>
                <w:sz w:val="22"/>
                <w:szCs w:val="22"/>
              </w:rPr>
              <w:t>Western Tidewater CSB</w:t>
            </w:r>
          </w:p>
        </w:tc>
        <w:tc>
          <w:tcPr>
            <w:tcW w:w="990" w:type="dxa"/>
            <w:noWrap/>
          </w:tcPr>
          <w:p w14:paraId="255CC9CB" w14:textId="411E8513"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33</w:t>
            </w:r>
          </w:p>
        </w:tc>
        <w:tc>
          <w:tcPr>
            <w:tcW w:w="990" w:type="dxa"/>
          </w:tcPr>
          <w:p w14:paraId="73B63873" w14:textId="2A1CAE6D"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13</w:t>
            </w:r>
          </w:p>
        </w:tc>
        <w:tc>
          <w:tcPr>
            <w:tcW w:w="900" w:type="dxa"/>
          </w:tcPr>
          <w:p w14:paraId="30A08D76" w14:textId="58926C86"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42</w:t>
            </w:r>
          </w:p>
        </w:tc>
        <w:tc>
          <w:tcPr>
            <w:tcW w:w="990" w:type="dxa"/>
          </w:tcPr>
          <w:p w14:paraId="1A5FC11C" w14:textId="11DBE4F7" w:rsidR="004D2BFA" w:rsidRPr="004D2BFA" w:rsidRDefault="004D2BFA" w:rsidP="004D2B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rPr>
            </w:pPr>
            <w:r w:rsidRPr="004D2BFA">
              <w:rPr>
                <w:rFonts w:asciiTheme="minorHAnsi" w:hAnsiTheme="minorHAnsi" w:cstheme="minorHAnsi"/>
                <w:sz w:val="22"/>
                <w:szCs w:val="22"/>
              </w:rPr>
              <w:t>18</w:t>
            </w:r>
          </w:p>
        </w:tc>
      </w:tr>
    </w:tbl>
    <w:p w14:paraId="65E8890F" w14:textId="01E1AE86" w:rsidR="00E5793C" w:rsidRPr="004C2EF1" w:rsidRDefault="004C2EF1" w:rsidP="00594AA6">
      <w:pPr>
        <w:rPr>
          <w:rFonts w:asciiTheme="minorHAnsi" w:hAnsiTheme="minorHAnsi" w:cstheme="minorHAnsi"/>
          <w:i/>
          <w:iCs/>
          <w:sz w:val="22"/>
          <w:szCs w:val="22"/>
        </w:rPr>
      </w:pPr>
      <w:r w:rsidRPr="004C2EF1">
        <w:rPr>
          <w:rFonts w:asciiTheme="minorHAnsi" w:hAnsiTheme="minorHAnsi" w:cstheme="minorHAnsi"/>
          <w:i/>
          <w:iCs/>
          <w:sz w:val="22"/>
          <w:szCs w:val="22"/>
          <w:vertAlign w:val="superscript"/>
        </w:rPr>
        <w:t>1</w:t>
      </w:r>
      <w:r w:rsidRPr="004C2EF1">
        <w:rPr>
          <w:rFonts w:asciiTheme="minorHAnsi" w:hAnsiTheme="minorHAnsi" w:cstheme="minorHAnsi"/>
          <w:i/>
          <w:iCs/>
          <w:sz w:val="22"/>
          <w:szCs w:val="22"/>
        </w:rPr>
        <w:t xml:space="preserve">Index scores </w:t>
      </w:r>
      <w:r>
        <w:rPr>
          <w:rFonts w:asciiTheme="minorHAnsi" w:hAnsiTheme="minorHAnsi" w:cstheme="minorHAnsi"/>
          <w:i/>
          <w:iCs/>
          <w:sz w:val="22"/>
          <w:szCs w:val="22"/>
        </w:rPr>
        <w:t xml:space="preserve">were </w:t>
      </w:r>
      <w:r w:rsidRPr="004C2EF1">
        <w:rPr>
          <w:rFonts w:asciiTheme="minorHAnsi" w:hAnsiTheme="minorHAnsi" w:cstheme="minorHAnsi"/>
          <w:i/>
          <w:iCs/>
          <w:sz w:val="22"/>
          <w:szCs w:val="22"/>
        </w:rPr>
        <w:t xml:space="preserve">rescaled </w:t>
      </w:r>
      <w:r>
        <w:rPr>
          <w:rFonts w:asciiTheme="minorHAnsi" w:hAnsiTheme="minorHAnsi" w:cstheme="minorHAnsi"/>
          <w:i/>
          <w:iCs/>
          <w:sz w:val="22"/>
          <w:szCs w:val="22"/>
        </w:rPr>
        <w:t xml:space="preserve">to range </w:t>
      </w:r>
      <w:r w:rsidRPr="004C2EF1">
        <w:rPr>
          <w:rFonts w:asciiTheme="minorHAnsi" w:hAnsiTheme="minorHAnsi" w:cstheme="minorHAnsi"/>
          <w:i/>
          <w:iCs/>
          <w:sz w:val="22"/>
          <w:szCs w:val="22"/>
        </w:rPr>
        <w:t>from 0 (</w:t>
      </w:r>
      <w:r>
        <w:rPr>
          <w:rFonts w:asciiTheme="minorHAnsi" w:hAnsiTheme="minorHAnsi" w:cstheme="minorHAnsi"/>
          <w:i/>
          <w:iCs/>
          <w:sz w:val="22"/>
          <w:szCs w:val="22"/>
        </w:rPr>
        <w:t>worst</w:t>
      </w:r>
      <w:r w:rsidRPr="004C2EF1">
        <w:rPr>
          <w:rFonts w:asciiTheme="minorHAnsi" w:hAnsiTheme="minorHAnsi" w:cstheme="minorHAnsi"/>
          <w:i/>
          <w:iCs/>
          <w:sz w:val="22"/>
          <w:szCs w:val="22"/>
        </w:rPr>
        <w:t>) to 100 (best).</w:t>
      </w:r>
    </w:p>
    <w:sectPr w:rsidR="00E5793C" w:rsidRPr="004C2EF1" w:rsidSect="00802F32">
      <w:pgSz w:w="12240" w:h="15840" w:code="1"/>
      <w:pgMar w:top="1152" w:right="1152" w:bottom="1152" w:left="1152"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A1ACAA" w14:textId="77777777" w:rsidR="000A5734" w:rsidRDefault="000A5734" w:rsidP="00B903FB">
      <w:r>
        <w:separator/>
      </w:r>
    </w:p>
  </w:endnote>
  <w:endnote w:type="continuationSeparator" w:id="0">
    <w:p w14:paraId="71EDBA97" w14:textId="77777777" w:rsidR="000A5734" w:rsidRDefault="000A5734" w:rsidP="00B9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1841448"/>
      <w:docPartObj>
        <w:docPartGallery w:val="Page Numbers (Bottom of Page)"/>
        <w:docPartUnique/>
      </w:docPartObj>
    </w:sdtPr>
    <w:sdtContent>
      <w:p w14:paraId="059CFDA3" w14:textId="07B24693" w:rsidR="009917B6" w:rsidRDefault="009917B6">
        <w:pPr>
          <w:pStyle w:val="Footer"/>
          <w:jc w:val="right"/>
        </w:pPr>
      </w:p>
    </w:sdtContent>
  </w:sdt>
  <w:p w14:paraId="183B4CE5" w14:textId="77777777" w:rsidR="009917B6" w:rsidRDefault="00991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8834557"/>
      <w:docPartObj>
        <w:docPartGallery w:val="Page Numbers (Bottom of Page)"/>
        <w:docPartUnique/>
      </w:docPartObj>
    </w:sdtPr>
    <w:sdtContent>
      <w:p w14:paraId="0C6DE1EE" w14:textId="6801F13B" w:rsidR="009917B6" w:rsidRDefault="009917B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8D11226" w14:textId="77777777" w:rsidR="009917B6" w:rsidRDefault="00991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4BC4A" w14:textId="77777777" w:rsidR="000A5734" w:rsidRDefault="000A5734" w:rsidP="00B903FB">
      <w:r>
        <w:separator/>
      </w:r>
    </w:p>
  </w:footnote>
  <w:footnote w:type="continuationSeparator" w:id="0">
    <w:p w14:paraId="2C1919AB" w14:textId="77777777" w:rsidR="000A5734" w:rsidRDefault="000A5734" w:rsidP="00B903FB">
      <w:r>
        <w:continuationSeparator/>
      </w:r>
    </w:p>
  </w:footnote>
  <w:footnote w:id="1">
    <w:p w14:paraId="658740F8" w14:textId="0E1553D5" w:rsidR="009917B6" w:rsidRPr="00F41535" w:rsidRDefault="009917B6">
      <w:pPr>
        <w:pStyle w:val="FootnoteText"/>
        <w:rPr>
          <w:rFonts w:asciiTheme="minorHAnsi" w:hAnsiTheme="minorHAnsi" w:cstheme="minorHAnsi"/>
        </w:rPr>
      </w:pPr>
      <w:r w:rsidRPr="005B6AD7">
        <w:rPr>
          <w:rStyle w:val="FootnoteReference"/>
          <w:rFonts w:asciiTheme="minorHAnsi" w:hAnsiTheme="minorHAnsi" w:cstheme="minorHAnsi"/>
        </w:rPr>
        <w:footnoteRef/>
      </w:r>
      <w:r w:rsidRPr="005B6AD7">
        <w:rPr>
          <w:rFonts w:asciiTheme="minorHAnsi" w:hAnsiTheme="minorHAnsi" w:cstheme="minorHAnsi"/>
        </w:rPr>
        <w:t xml:space="preserve"> </w:t>
      </w:r>
      <w:r w:rsidRPr="00F41535">
        <w:rPr>
          <w:rFonts w:asciiTheme="minorHAnsi" w:hAnsiTheme="minorHAnsi" w:cstheme="minorHAnsi"/>
        </w:rPr>
        <w:t>APCD included claims from inpatient, outpatient, and emergency department settings. APCD does not include cash-for-service, indigent care, or Veteran’s Administration care.</w:t>
      </w:r>
    </w:p>
  </w:footnote>
  <w:footnote w:id="2">
    <w:p w14:paraId="5CAA38A0" w14:textId="6D8CB80E" w:rsidR="009917B6" w:rsidRPr="00F41535" w:rsidRDefault="009917B6">
      <w:pPr>
        <w:pStyle w:val="FootnoteText"/>
        <w:rPr>
          <w:rFonts w:asciiTheme="minorHAnsi" w:hAnsiTheme="minorHAnsi" w:cstheme="minorHAnsi"/>
        </w:rPr>
      </w:pPr>
      <w:r w:rsidRPr="00F41535">
        <w:rPr>
          <w:rStyle w:val="FootnoteReference"/>
          <w:rFonts w:asciiTheme="minorHAnsi" w:hAnsiTheme="minorHAnsi" w:cstheme="minorHAnsi"/>
        </w:rPr>
        <w:footnoteRef/>
      </w:r>
      <w:r w:rsidRPr="00F41535">
        <w:rPr>
          <w:rFonts w:asciiTheme="minorHAnsi" w:hAnsiTheme="minorHAnsi" w:cstheme="minorHAnsi"/>
        </w:rPr>
        <w:t xml:space="preserve"> Zip Code Ta</w:t>
      </w:r>
      <w:r>
        <w:rPr>
          <w:rFonts w:asciiTheme="minorHAnsi" w:hAnsiTheme="minorHAnsi" w:cstheme="minorHAnsi"/>
        </w:rPr>
        <w:t xml:space="preserve">bulation Areas (ZCTAs) are </w:t>
      </w:r>
      <w:r w:rsidRPr="00F41535">
        <w:rPr>
          <w:rFonts w:asciiTheme="minorHAnsi" w:hAnsiTheme="minorHAnsi" w:cstheme="minorHAnsi"/>
        </w:rPr>
        <w:t xml:space="preserve">created by the U.S. Census Bureau </w:t>
      </w:r>
      <w:r>
        <w:rPr>
          <w:rFonts w:asciiTheme="minorHAnsi" w:hAnsiTheme="minorHAnsi" w:cstheme="minorHAnsi"/>
        </w:rPr>
        <w:t xml:space="preserve">based on </w:t>
      </w:r>
      <w:r w:rsidRPr="00F41535">
        <w:rPr>
          <w:rFonts w:asciiTheme="minorHAnsi" w:hAnsiTheme="minorHAnsi" w:cstheme="minorHAnsi"/>
        </w:rPr>
        <w:t>census blocks</w:t>
      </w:r>
      <w:r>
        <w:rPr>
          <w:rFonts w:asciiTheme="minorHAnsi" w:hAnsiTheme="minorHAnsi" w:cstheme="minorHAnsi"/>
        </w:rPr>
        <w:t xml:space="preserve"> and were designed to correspond to Zip Code areas. </w:t>
      </w:r>
      <w:r w:rsidRPr="007F1167">
        <w:rPr>
          <w:rFonts w:asciiTheme="minorHAnsi" w:hAnsiTheme="minorHAnsi" w:cstheme="minorHAnsi"/>
        </w:rPr>
        <w:t xml:space="preserve">Over 70% of ZCTAs share at least 80% of their area with their </w:t>
      </w:r>
      <w:r>
        <w:rPr>
          <w:rFonts w:asciiTheme="minorHAnsi" w:hAnsiTheme="minorHAnsi" w:cstheme="minorHAnsi"/>
        </w:rPr>
        <w:t>corresponding Z</w:t>
      </w:r>
      <w:r w:rsidRPr="007F1167">
        <w:rPr>
          <w:rFonts w:asciiTheme="minorHAnsi" w:hAnsiTheme="minorHAnsi" w:cstheme="minorHAnsi"/>
        </w:rPr>
        <w:t xml:space="preserve">ip </w:t>
      </w:r>
      <w:r>
        <w:rPr>
          <w:rFonts w:asciiTheme="minorHAnsi" w:hAnsiTheme="minorHAnsi" w:cstheme="minorHAnsi"/>
        </w:rPr>
        <w:t>C</w:t>
      </w:r>
      <w:r w:rsidRPr="007F1167">
        <w:rPr>
          <w:rFonts w:asciiTheme="minorHAnsi" w:hAnsiTheme="minorHAnsi" w:cstheme="minorHAnsi"/>
        </w:rPr>
        <w:t>odes.</w:t>
      </w:r>
    </w:p>
  </w:footnote>
  <w:footnote w:id="3">
    <w:p w14:paraId="0732F663" w14:textId="7BBB845C" w:rsidR="009917B6" w:rsidRPr="005B6AD7" w:rsidRDefault="009917B6">
      <w:pPr>
        <w:pStyle w:val="FootnoteText"/>
        <w:rPr>
          <w:rFonts w:asciiTheme="minorHAnsi" w:hAnsiTheme="minorHAnsi" w:cstheme="minorHAnsi"/>
        </w:rPr>
      </w:pPr>
      <w:r w:rsidRPr="00F41535">
        <w:rPr>
          <w:rStyle w:val="FootnoteReference"/>
          <w:rFonts w:asciiTheme="minorHAnsi" w:hAnsiTheme="minorHAnsi" w:cstheme="minorHAnsi"/>
        </w:rPr>
        <w:footnoteRef/>
      </w:r>
      <w:r w:rsidRPr="00F41535">
        <w:rPr>
          <w:rFonts w:asciiTheme="minorHAnsi" w:hAnsiTheme="minorHAnsi" w:cstheme="minorHAnsi"/>
        </w:rPr>
        <w:t xml:space="preserve"> Data were downloaded from</w:t>
      </w:r>
      <w:r>
        <w:rPr>
          <w:rFonts w:asciiTheme="minorHAnsi" w:hAnsiTheme="minorHAnsi" w:cstheme="minorHAnsi"/>
        </w:rPr>
        <w:t xml:space="preserve"> t</w:t>
      </w:r>
      <w:r w:rsidRPr="005B6AD7">
        <w:rPr>
          <w:rFonts w:asciiTheme="minorHAnsi" w:hAnsiTheme="minorHAnsi" w:cstheme="minorHAnsi"/>
        </w:rPr>
        <w:t xml:space="preserve">he American </w:t>
      </w:r>
      <w:proofErr w:type="spellStart"/>
      <w:r w:rsidRPr="005B6AD7">
        <w:rPr>
          <w:rFonts w:asciiTheme="minorHAnsi" w:hAnsiTheme="minorHAnsi" w:cstheme="minorHAnsi"/>
        </w:rPr>
        <w:t>FactFinder</w:t>
      </w:r>
      <w:proofErr w:type="spellEnd"/>
      <w:r w:rsidRPr="005B6AD7">
        <w:rPr>
          <w:rFonts w:asciiTheme="minorHAnsi" w:hAnsiTheme="minorHAnsi" w:cstheme="minorHAnsi"/>
        </w:rPr>
        <w:t xml:space="preserve"> website</w:t>
      </w:r>
      <w:r>
        <w:rPr>
          <w:rFonts w:asciiTheme="minorHAnsi" w:hAnsiTheme="minorHAnsi" w:cstheme="minorHAnsi"/>
        </w:rPr>
        <w:t xml:space="preserve">, which </w:t>
      </w:r>
      <w:r w:rsidRPr="005B6AD7">
        <w:rPr>
          <w:rFonts w:asciiTheme="minorHAnsi" w:hAnsiTheme="minorHAnsi" w:cstheme="minorHAnsi"/>
        </w:rPr>
        <w:t>was decommissioned on March 31, 2020. These</w:t>
      </w:r>
      <w:r>
        <w:rPr>
          <w:rFonts w:asciiTheme="minorHAnsi" w:hAnsiTheme="minorHAnsi" w:cstheme="minorHAnsi"/>
        </w:rPr>
        <w:t xml:space="preserve"> American Community Survey </w:t>
      </w:r>
      <w:r w:rsidRPr="005B6AD7">
        <w:rPr>
          <w:rFonts w:asciiTheme="minorHAnsi" w:hAnsiTheme="minorHAnsi" w:cstheme="minorHAnsi"/>
        </w:rPr>
        <w:t xml:space="preserve">data </w:t>
      </w:r>
      <w:r>
        <w:rPr>
          <w:rFonts w:asciiTheme="minorHAnsi" w:hAnsiTheme="minorHAnsi" w:cstheme="minorHAnsi"/>
        </w:rPr>
        <w:t xml:space="preserve">(table B01001) </w:t>
      </w:r>
      <w:r w:rsidRPr="005B6AD7">
        <w:rPr>
          <w:rFonts w:asciiTheme="minorHAnsi" w:hAnsiTheme="minorHAnsi" w:cstheme="minorHAnsi"/>
        </w:rPr>
        <w:t xml:space="preserve">are now available for download at </w:t>
      </w:r>
      <w:hyperlink r:id="rId1" w:history="1">
        <w:r w:rsidRPr="005B6AD7">
          <w:rPr>
            <w:rStyle w:val="Hyperlink"/>
            <w:rFonts w:asciiTheme="minorHAnsi" w:hAnsiTheme="minorHAnsi" w:cstheme="minorHAnsi"/>
          </w:rPr>
          <w:t>https://data.census.gov/cedsci/</w:t>
        </w:r>
      </w:hyperlink>
      <w:r w:rsidRPr="005B6AD7">
        <w:rPr>
          <w:rFonts w:asciiTheme="minorHAnsi" w:hAnsiTheme="minorHAnsi" w:cstheme="minorHAnsi"/>
        </w:rPr>
        <w:t xml:space="preserve">.  </w:t>
      </w:r>
    </w:p>
  </w:footnote>
  <w:footnote w:id="4">
    <w:p w14:paraId="67C9F4D2" w14:textId="2A63AC06" w:rsidR="009917B6" w:rsidRPr="002469B5" w:rsidRDefault="009917B6">
      <w:pPr>
        <w:pStyle w:val="FootnoteText"/>
        <w:rPr>
          <w:rFonts w:asciiTheme="minorHAnsi" w:hAnsiTheme="minorHAnsi" w:cstheme="minorHAnsi"/>
        </w:rPr>
      </w:pPr>
      <w:bookmarkStart w:id="0" w:name="_Hlk74836794"/>
      <w:r w:rsidRPr="002469B5">
        <w:rPr>
          <w:rStyle w:val="FootnoteReference"/>
          <w:rFonts w:asciiTheme="minorHAnsi" w:hAnsiTheme="minorHAnsi" w:cstheme="minorHAnsi"/>
        </w:rPr>
        <w:footnoteRef/>
      </w:r>
      <w:r w:rsidRPr="002469B5">
        <w:rPr>
          <w:rFonts w:asciiTheme="minorHAnsi" w:hAnsiTheme="minorHAnsi" w:cstheme="minorHAnsi"/>
        </w:rPr>
        <w:t xml:space="preserve"> Brown, L. D., Cai, T. T., &amp; </w:t>
      </w:r>
      <w:proofErr w:type="spellStart"/>
      <w:r w:rsidRPr="002469B5">
        <w:rPr>
          <w:rFonts w:asciiTheme="minorHAnsi" w:hAnsiTheme="minorHAnsi" w:cstheme="minorHAnsi"/>
        </w:rPr>
        <w:t>DasGupta</w:t>
      </w:r>
      <w:proofErr w:type="spellEnd"/>
      <w:r w:rsidRPr="002469B5">
        <w:rPr>
          <w:rFonts w:asciiTheme="minorHAnsi" w:hAnsiTheme="minorHAnsi" w:cstheme="minorHAnsi"/>
        </w:rPr>
        <w:t>, A. (2001). Interval estimation for a binomial proportion. </w:t>
      </w:r>
      <w:r w:rsidRPr="002469B5">
        <w:rPr>
          <w:rFonts w:asciiTheme="minorHAnsi" w:hAnsiTheme="minorHAnsi" w:cstheme="minorHAnsi"/>
          <w:i/>
          <w:iCs/>
        </w:rPr>
        <w:t>Statistical science</w:t>
      </w:r>
      <w:r w:rsidRPr="002469B5">
        <w:rPr>
          <w:rFonts w:asciiTheme="minorHAnsi" w:hAnsiTheme="minorHAnsi" w:cstheme="minorHAnsi"/>
        </w:rPr>
        <w:t>, 101-117.</w:t>
      </w:r>
    </w:p>
    <w:bookmarkEnd w:id="0"/>
  </w:footnote>
  <w:footnote w:id="5">
    <w:p w14:paraId="6A23AF20" w14:textId="77777777" w:rsidR="009917B6" w:rsidRPr="00A206A3" w:rsidRDefault="009917B6" w:rsidP="00FD30AA">
      <w:pPr>
        <w:pStyle w:val="FootnoteText"/>
        <w:rPr>
          <w:rFonts w:asciiTheme="minorHAnsi" w:hAnsiTheme="minorHAnsi" w:cstheme="minorHAnsi"/>
        </w:rPr>
      </w:pPr>
      <w:r w:rsidRPr="00A206A3">
        <w:rPr>
          <w:rStyle w:val="FootnoteReference"/>
          <w:rFonts w:asciiTheme="minorHAnsi" w:hAnsiTheme="minorHAnsi" w:cstheme="minorHAnsi"/>
        </w:rPr>
        <w:footnoteRef/>
      </w:r>
      <w:r w:rsidRPr="00A206A3">
        <w:rPr>
          <w:rFonts w:asciiTheme="minorHAnsi" w:hAnsiTheme="minorHAnsi" w:cstheme="minorHAnsi"/>
        </w:rPr>
        <w:t xml:space="preserve"> </w:t>
      </w:r>
      <w:proofErr w:type="spellStart"/>
      <w:r w:rsidRPr="00A206A3">
        <w:rPr>
          <w:rFonts w:asciiTheme="minorHAnsi" w:hAnsiTheme="minorHAnsi" w:cstheme="minorHAnsi"/>
        </w:rPr>
        <w:t>Agresti</w:t>
      </w:r>
      <w:proofErr w:type="spellEnd"/>
      <w:r w:rsidRPr="00A206A3">
        <w:rPr>
          <w:rFonts w:asciiTheme="minorHAnsi" w:hAnsiTheme="minorHAnsi" w:cstheme="minorHAnsi"/>
        </w:rPr>
        <w:t xml:space="preserve">, A., &amp; </w:t>
      </w:r>
      <w:proofErr w:type="spellStart"/>
      <w:r w:rsidRPr="00A206A3">
        <w:rPr>
          <w:rFonts w:asciiTheme="minorHAnsi" w:hAnsiTheme="minorHAnsi" w:cstheme="minorHAnsi"/>
        </w:rPr>
        <w:t>Coull</w:t>
      </w:r>
      <w:proofErr w:type="spellEnd"/>
      <w:r w:rsidRPr="00A206A3">
        <w:rPr>
          <w:rFonts w:asciiTheme="minorHAnsi" w:hAnsiTheme="minorHAnsi" w:cstheme="minorHAnsi"/>
        </w:rPr>
        <w:t>, B. A. (1998). Approximate is better than “exact” for interval estimation of binomial proportions. The American Statistician, 52(2), 119-126.</w:t>
      </w:r>
    </w:p>
  </w:footnote>
  <w:footnote w:id="6">
    <w:p w14:paraId="76025203" w14:textId="77777777" w:rsidR="009917B6" w:rsidRPr="00A206A3" w:rsidRDefault="009917B6" w:rsidP="00FD30AA">
      <w:pPr>
        <w:pStyle w:val="FootnoteText"/>
        <w:rPr>
          <w:rFonts w:asciiTheme="minorHAnsi" w:hAnsiTheme="minorHAnsi" w:cstheme="minorHAnsi"/>
        </w:rPr>
      </w:pPr>
      <w:r w:rsidRPr="00A206A3">
        <w:rPr>
          <w:rStyle w:val="FootnoteReference"/>
          <w:rFonts w:asciiTheme="minorHAnsi" w:hAnsiTheme="minorHAnsi" w:cstheme="minorHAnsi"/>
        </w:rPr>
        <w:footnoteRef/>
      </w:r>
      <w:r w:rsidRPr="00A206A3">
        <w:rPr>
          <w:rFonts w:asciiTheme="minorHAnsi" w:hAnsiTheme="minorHAnsi" w:cstheme="minorHAnsi"/>
        </w:rPr>
        <w:t xml:space="preserve"> Clopper, C. J., &amp; Pearson, E. S. (1934). The use of confidence or fiducial limits illustrated in the case of the binomial. </w:t>
      </w:r>
      <w:proofErr w:type="spellStart"/>
      <w:r w:rsidRPr="00A206A3">
        <w:rPr>
          <w:rFonts w:asciiTheme="minorHAnsi" w:hAnsiTheme="minorHAnsi" w:cstheme="minorHAnsi"/>
          <w:i/>
          <w:iCs/>
        </w:rPr>
        <w:t>Biometrika</w:t>
      </w:r>
      <w:proofErr w:type="spellEnd"/>
      <w:r w:rsidRPr="00A206A3">
        <w:rPr>
          <w:rFonts w:asciiTheme="minorHAnsi" w:hAnsiTheme="minorHAnsi" w:cstheme="minorHAnsi"/>
        </w:rPr>
        <w:t>, </w:t>
      </w:r>
      <w:r w:rsidRPr="00A206A3">
        <w:rPr>
          <w:rFonts w:asciiTheme="minorHAnsi" w:hAnsiTheme="minorHAnsi" w:cstheme="minorHAnsi"/>
          <w:i/>
          <w:iCs/>
        </w:rPr>
        <w:t>26</w:t>
      </w:r>
      <w:r w:rsidRPr="00A206A3">
        <w:rPr>
          <w:rFonts w:asciiTheme="minorHAnsi" w:hAnsiTheme="minorHAnsi" w:cstheme="minorHAnsi"/>
        </w:rPr>
        <w:t>(4), 404-413.</w:t>
      </w:r>
    </w:p>
  </w:footnote>
  <w:footnote w:id="7">
    <w:p w14:paraId="37354BF5" w14:textId="24FD32A6" w:rsidR="009917B6" w:rsidRDefault="009917B6">
      <w:pPr>
        <w:pStyle w:val="FootnoteText"/>
      </w:pPr>
      <w:r>
        <w:rPr>
          <w:rStyle w:val="FootnoteReference"/>
        </w:rPr>
        <w:footnoteRef/>
      </w:r>
      <w:r>
        <w:t xml:space="preserve"> </w:t>
      </w:r>
      <w:r w:rsidRPr="00A206A3">
        <w:rPr>
          <w:rFonts w:asciiTheme="minorHAnsi" w:hAnsiTheme="minorHAnsi" w:cstheme="minorHAnsi"/>
        </w:rPr>
        <w:t>Thulin, M. (2014). The cost of using exact confidence intervals for a binomial proportion. </w:t>
      </w:r>
      <w:r w:rsidRPr="00A206A3">
        <w:rPr>
          <w:rFonts w:asciiTheme="minorHAnsi" w:hAnsiTheme="minorHAnsi" w:cstheme="minorHAnsi"/>
          <w:i/>
          <w:iCs/>
        </w:rPr>
        <w:t>Electronic Journal of Statistics</w:t>
      </w:r>
      <w:r w:rsidRPr="00A206A3">
        <w:rPr>
          <w:rFonts w:asciiTheme="minorHAnsi" w:hAnsiTheme="minorHAnsi" w:cstheme="minorHAnsi"/>
        </w:rPr>
        <w:t>, </w:t>
      </w:r>
      <w:r w:rsidRPr="00A206A3">
        <w:rPr>
          <w:rFonts w:asciiTheme="minorHAnsi" w:hAnsiTheme="minorHAnsi" w:cstheme="minorHAnsi"/>
          <w:i/>
          <w:iCs/>
        </w:rPr>
        <w:t>8</w:t>
      </w:r>
      <w:r w:rsidRPr="00A206A3">
        <w:rPr>
          <w:rFonts w:asciiTheme="minorHAnsi" w:hAnsiTheme="minorHAnsi" w:cstheme="minorHAnsi"/>
        </w:rPr>
        <w:t>(1), 817-840.</w:t>
      </w:r>
    </w:p>
  </w:footnote>
  <w:footnote w:id="8">
    <w:p w14:paraId="2D85BDF8" w14:textId="77777777" w:rsidR="009917B6" w:rsidRPr="00BE6296" w:rsidRDefault="009917B6" w:rsidP="0062690D">
      <w:pPr>
        <w:pStyle w:val="FootnoteText"/>
        <w:rPr>
          <w:rFonts w:asciiTheme="minorHAnsi" w:hAnsiTheme="minorHAnsi" w:cstheme="minorHAnsi"/>
        </w:rPr>
      </w:pPr>
      <w:r w:rsidRPr="005B6AD7">
        <w:rPr>
          <w:rStyle w:val="FootnoteReference"/>
          <w:rFonts w:asciiTheme="minorHAnsi" w:hAnsiTheme="minorHAnsi" w:cstheme="minorHAnsi"/>
          <w:sz w:val="16"/>
          <w:szCs w:val="16"/>
        </w:rPr>
        <w:footnoteRef/>
      </w:r>
      <w:r w:rsidRPr="005B6AD7">
        <w:rPr>
          <w:rFonts w:asciiTheme="minorHAnsi" w:hAnsiTheme="minorHAnsi" w:cstheme="minorHAnsi"/>
          <w:sz w:val="16"/>
          <w:szCs w:val="16"/>
        </w:rPr>
        <w:t xml:space="preserve"> </w:t>
      </w:r>
      <w:r w:rsidRPr="00BE6296">
        <w:rPr>
          <w:rFonts w:asciiTheme="minorHAnsi" w:hAnsiTheme="minorHAnsi" w:cstheme="minorHAnsi"/>
        </w:rPr>
        <w:t xml:space="preserve">MCDC Data Applications Website. </w:t>
      </w:r>
      <w:hyperlink r:id="rId2" w:history="1">
        <w:r w:rsidRPr="00BE6296">
          <w:rPr>
            <w:rStyle w:val="Hyperlink"/>
            <w:rFonts w:asciiTheme="minorHAnsi" w:hAnsiTheme="minorHAnsi" w:cstheme="minorHAnsi"/>
          </w:rPr>
          <w:t>https://mcdc.missouri.edu/applications/geocorr2018.html</w:t>
        </w:r>
      </w:hyperlink>
      <w:r w:rsidRPr="00BE6296">
        <w:rPr>
          <w:rFonts w:asciiTheme="minorHAnsi" w:hAnsiTheme="minorHAnsi" w:cstheme="minorHAnsi"/>
        </w:rPr>
        <w:t>. Accessed March 1, 2021.</w:t>
      </w:r>
    </w:p>
  </w:footnote>
  <w:footnote w:id="9">
    <w:p w14:paraId="52BB8A68" w14:textId="77777777" w:rsidR="009917B6" w:rsidRPr="00BE6296" w:rsidRDefault="009917B6" w:rsidP="00644D04">
      <w:pPr>
        <w:pStyle w:val="FootnoteText"/>
        <w:rPr>
          <w:rFonts w:asciiTheme="minorHAnsi" w:hAnsiTheme="minorHAnsi" w:cstheme="minorHAnsi"/>
        </w:rPr>
      </w:pPr>
      <w:r w:rsidRPr="00BE6296">
        <w:rPr>
          <w:rStyle w:val="FootnoteReference"/>
          <w:rFonts w:asciiTheme="minorHAnsi" w:hAnsiTheme="minorHAnsi" w:cstheme="minorHAnsi"/>
        </w:rPr>
        <w:footnoteRef/>
      </w:r>
      <w:r w:rsidRPr="00BE6296">
        <w:rPr>
          <w:rFonts w:asciiTheme="minorHAnsi" w:hAnsiTheme="minorHAnsi" w:cstheme="minorHAnsi"/>
        </w:rPr>
        <w:t xml:space="preserve"> Virginia Association of Community Services Boards, Inc. Website. </w:t>
      </w:r>
      <w:hyperlink r:id="rId3" w:history="1">
        <w:r w:rsidRPr="00BE6296">
          <w:rPr>
            <w:rStyle w:val="Hyperlink"/>
            <w:rFonts w:asciiTheme="minorHAnsi" w:hAnsiTheme="minorHAnsi" w:cstheme="minorHAnsi"/>
          </w:rPr>
          <w:t>https://dbhds.virginia.gov/assets/doc/BH/oss/CSBOverviewMar2018.pdf</w:t>
        </w:r>
      </w:hyperlink>
      <w:r w:rsidRPr="00BE6296">
        <w:rPr>
          <w:rFonts w:asciiTheme="minorHAnsi" w:hAnsiTheme="minorHAnsi" w:cstheme="minorHAnsi"/>
        </w:rPr>
        <w:t>. Accessed March 15, 2021.</w:t>
      </w:r>
    </w:p>
  </w:footnote>
  <w:footnote w:id="10">
    <w:p w14:paraId="252BFC3F" w14:textId="1B35B2B3" w:rsidR="009917B6" w:rsidRDefault="009917B6">
      <w:pPr>
        <w:pStyle w:val="FootnoteText"/>
      </w:pPr>
      <w:r>
        <w:rPr>
          <w:rStyle w:val="FootnoteReference"/>
        </w:rPr>
        <w:footnoteRef/>
      </w:r>
      <w:r>
        <w:t xml:space="preserve"> </w:t>
      </w:r>
      <w:r>
        <w:rPr>
          <w:rFonts w:asciiTheme="minorHAnsi" w:hAnsiTheme="minorHAnsi" w:cstheme="minorHAnsi"/>
        </w:rPr>
        <w:t>Data were downloaded from t</w:t>
      </w:r>
      <w:r w:rsidRPr="005B6AD7">
        <w:rPr>
          <w:rFonts w:asciiTheme="minorHAnsi" w:hAnsiTheme="minorHAnsi" w:cstheme="minorHAnsi"/>
        </w:rPr>
        <w:t xml:space="preserve">he American </w:t>
      </w:r>
      <w:proofErr w:type="spellStart"/>
      <w:r w:rsidRPr="005B6AD7">
        <w:rPr>
          <w:rFonts w:asciiTheme="minorHAnsi" w:hAnsiTheme="minorHAnsi" w:cstheme="minorHAnsi"/>
        </w:rPr>
        <w:t>FactFinder</w:t>
      </w:r>
      <w:proofErr w:type="spellEnd"/>
      <w:r w:rsidRPr="005B6AD7">
        <w:rPr>
          <w:rFonts w:asciiTheme="minorHAnsi" w:hAnsiTheme="minorHAnsi" w:cstheme="minorHAnsi"/>
        </w:rPr>
        <w:t xml:space="preserve"> website</w:t>
      </w:r>
      <w:r>
        <w:rPr>
          <w:rFonts w:asciiTheme="minorHAnsi" w:hAnsiTheme="minorHAnsi" w:cstheme="minorHAnsi"/>
        </w:rPr>
        <w:t xml:space="preserve">, which </w:t>
      </w:r>
      <w:r w:rsidRPr="005B6AD7">
        <w:rPr>
          <w:rFonts w:asciiTheme="minorHAnsi" w:hAnsiTheme="minorHAnsi" w:cstheme="minorHAnsi"/>
        </w:rPr>
        <w:t>was decommissioned on March 31, 2020. These</w:t>
      </w:r>
      <w:r>
        <w:rPr>
          <w:rFonts w:asciiTheme="minorHAnsi" w:hAnsiTheme="minorHAnsi" w:cstheme="minorHAnsi"/>
        </w:rPr>
        <w:t xml:space="preserve"> American Community Survey </w:t>
      </w:r>
      <w:r w:rsidRPr="005B6AD7">
        <w:rPr>
          <w:rFonts w:asciiTheme="minorHAnsi" w:hAnsiTheme="minorHAnsi" w:cstheme="minorHAnsi"/>
        </w:rPr>
        <w:t>data</w:t>
      </w:r>
      <w:r>
        <w:rPr>
          <w:rFonts w:asciiTheme="minorHAnsi" w:hAnsiTheme="minorHAnsi" w:cstheme="minorHAnsi"/>
        </w:rPr>
        <w:t xml:space="preserve"> </w:t>
      </w:r>
      <w:r w:rsidRPr="005B6AD7">
        <w:rPr>
          <w:rFonts w:asciiTheme="minorHAnsi" w:hAnsiTheme="minorHAnsi" w:cstheme="minorHAnsi"/>
        </w:rPr>
        <w:t xml:space="preserve">are now available for download at </w:t>
      </w:r>
      <w:hyperlink r:id="rId4" w:history="1">
        <w:r w:rsidRPr="005B6AD7">
          <w:rPr>
            <w:rStyle w:val="Hyperlink"/>
            <w:rFonts w:asciiTheme="minorHAnsi" w:hAnsiTheme="minorHAnsi" w:cstheme="minorHAnsi"/>
          </w:rPr>
          <w:t>https://data.census.gov/cedsci/</w:t>
        </w:r>
      </w:hyperlink>
      <w:r w:rsidRPr="005B6AD7">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59F5"/>
    <w:multiLevelType w:val="hybridMultilevel"/>
    <w:tmpl w:val="886AD7F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837FE6"/>
    <w:multiLevelType w:val="hybridMultilevel"/>
    <w:tmpl w:val="C7E075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87B3959"/>
    <w:multiLevelType w:val="hybridMultilevel"/>
    <w:tmpl w:val="8D8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7155C"/>
    <w:multiLevelType w:val="hybridMultilevel"/>
    <w:tmpl w:val="25F8FB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 w15:restartNumberingAfterBreak="0">
    <w:nsid w:val="5A066C5C"/>
    <w:multiLevelType w:val="hybridMultilevel"/>
    <w:tmpl w:val="837EE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261CEA"/>
    <w:multiLevelType w:val="hybridMultilevel"/>
    <w:tmpl w:val="C8840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F47BEC"/>
    <w:multiLevelType w:val="multilevel"/>
    <w:tmpl w:val="51EA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4B79EC"/>
    <w:multiLevelType w:val="hybridMultilevel"/>
    <w:tmpl w:val="4966308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404FE"/>
    <w:multiLevelType w:val="hybridMultilevel"/>
    <w:tmpl w:val="0DE43484"/>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650951"/>
    <w:multiLevelType w:val="multilevel"/>
    <w:tmpl w:val="51EAF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
  </w:num>
  <w:num w:numId="3">
    <w:abstractNumId w:val="7"/>
  </w:num>
  <w:num w:numId="4">
    <w:abstractNumId w:val="0"/>
  </w:num>
  <w:num w:numId="5">
    <w:abstractNumId w:val="8"/>
  </w:num>
  <w:num w:numId="6">
    <w:abstractNumId w:val="5"/>
  </w:num>
  <w:num w:numId="7">
    <w:abstractNumId w:val="4"/>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2NzMwMDQ0NzC0MDdX0lEKTi0uzszPAykwqQUAVSTfMywAAAA="/>
  </w:docVars>
  <w:rsids>
    <w:rsidRoot w:val="009A375D"/>
    <w:rsid w:val="00007AE4"/>
    <w:rsid w:val="00013667"/>
    <w:rsid w:val="0002251D"/>
    <w:rsid w:val="00023244"/>
    <w:rsid w:val="0002523A"/>
    <w:rsid w:val="00035DE0"/>
    <w:rsid w:val="00040C56"/>
    <w:rsid w:val="00041C36"/>
    <w:rsid w:val="000453E5"/>
    <w:rsid w:val="000539C3"/>
    <w:rsid w:val="0005561A"/>
    <w:rsid w:val="000959F3"/>
    <w:rsid w:val="00095F7C"/>
    <w:rsid w:val="000A0066"/>
    <w:rsid w:val="000A13EC"/>
    <w:rsid w:val="000A52C1"/>
    <w:rsid w:val="000A5734"/>
    <w:rsid w:val="000B5769"/>
    <w:rsid w:val="000B5C15"/>
    <w:rsid w:val="000C2509"/>
    <w:rsid w:val="000C2EA8"/>
    <w:rsid w:val="000C379C"/>
    <w:rsid w:val="000C5F31"/>
    <w:rsid w:val="000D3652"/>
    <w:rsid w:val="000E02B4"/>
    <w:rsid w:val="000E1840"/>
    <w:rsid w:val="00102881"/>
    <w:rsid w:val="00103A11"/>
    <w:rsid w:val="00112D44"/>
    <w:rsid w:val="0012103A"/>
    <w:rsid w:val="00126E99"/>
    <w:rsid w:val="00143CA7"/>
    <w:rsid w:val="001452D9"/>
    <w:rsid w:val="001670F1"/>
    <w:rsid w:val="00167606"/>
    <w:rsid w:val="001828A7"/>
    <w:rsid w:val="001A2D8F"/>
    <w:rsid w:val="001B0045"/>
    <w:rsid w:val="001D3EF4"/>
    <w:rsid w:val="001E6732"/>
    <w:rsid w:val="001F09DD"/>
    <w:rsid w:val="00207A2E"/>
    <w:rsid w:val="00211E77"/>
    <w:rsid w:val="00215BCB"/>
    <w:rsid w:val="002225F4"/>
    <w:rsid w:val="0022484B"/>
    <w:rsid w:val="0023173C"/>
    <w:rsid w:val="0024514F"/>
    <w:rsid w:val="002466F0"/>
    <w:rsid w:val="002469B5"/>
    <w:rsid w:val="00247174"/>
    <w:rsid w:val="002506E7"/>
    <w:rsid w:val="00251E60"/>
    <w:rsid w:val="00253DAA"/>
    <w:rsid w:val="002600DF"/>
    <w:rsid w:val="002648A2"/>
    <w:rsid w:val="00266D14"/>
    <w:rsid w:val="00271C7B"/>
    <w:rsid w:val="00274FF9"/>
    <w:rsid w:val="00277720"/>
    <w:rsid w:val="00287939"/>
    <w:rsid w:val="00293252"/>
    <w:rsid w:val="00293383"/>
    <w:rsid w:val="00295CA7"/>
    <w:rsid w:val="00297F7C"/>
    <w:rsid w:val="002A0EA3"/>
    <w:rsid w:val="002B0122"/>
    <w:rsid w:val="002B34D2"/>
    <w:rsid w:val="002B68AA"/>
    <w:rsid w:val="002C0132"/>
    <w:rsid w:val="002D6737"/>
    <w:rsid w:val="002E769D"/>
    <w:rsid w:val="002E7E96"/>
    <w:rsid w:val="00303FB8"/>
    <w:rsid w:val="0031119A"/>
    <w:rsid w:val="003135C4"/>
    <w:rsid w:val="00330715"/>
    <w:rsid w:val="00346E47"/>
    <w:rsid w:val="00347D0E"/>
    <w:rsid w:val="0035786A"/>
    <w:rsid w:val="00371CB4"/>
    <w:rsid w:val="003758FB"/>
    <w:rsid w:val="00377F59"/>
    <w:rsid w:val="00394536"/>
    <w:rsid w:val="00394BD3"/>
    <w:rsid w:val="003979B6"/>
    <w:rsid w:val="003A0C0F"/>
    <w:rsid w:val="003A515D"/>
    <w:rsid w:val="003B77B9"/>
    <w:rsid w:val="003B7B82"/>
    <w:rsid w:val="003C6C51"/>
    <w:rsid w:val="003C7047"/>
    <w:rsid w:val="003D1BDC"/>
    <w:rsid w:val="003E7FB2"/>
    <w:rsid w:val="003F3951"/>
    <w:rsid w:val="003F5ECB"/>
    <w:rsid w:val="004023E7"/>
    <w:rsid w:val="00407377"/>
    <w:rsid w:val="00416C6B"/>
    <w:rsid w:val="004172F8"/>
    <w:rsid w:val="004233D9"/>
    <w:rsid w:val="00427BB5"/>
    <w:rsid w:val="00453038"/>
    <w:rsid w:val="00461B64"/>
    <w:rsid w:val="004634A1"/>
    <w:rsid w:val="00474E36"/>
    <w:rsid w:val="00476C6C"/>
    <w:rsid w:val="00481DFA"/>
    <w:rsid w:val="00485753"/>
    <w:rsid w:val="004A2CD3"/>
    <w:rsid w:val="004A4161"/>
    <w:rsid w:val="004A591B"/>
    <w:rsid w:val="004B306D"/>
    <w:rsid w:val="004C2EF1"/>
    <w:rsid w:val="004D2BFA"/>
    <w:rsid w:val="004D390D"/>
    <w:rsid w:val="004D39DA"/>
    <w:rsid w:val="004E54D9"/>
    <w:rsid w:val="004F73F4"/>
    <w:rsid w:val="005021D3"/>
    <w:rsid w:val="00511618"/>
    <w:rsid w:val="005422D4"/>
    <w:rsid w:val="005516ED"/>
    <w:rsid w:val="005543F5"/>
    <w:rsid w:val="0055689A"/>
    <w:rsid w:val="00567FC3"/>
    <w:rsid w:val="00581CFE"/>
    <w:rsid w:val="00584028"/>
    <w:rsid w:val="00584284"/>
    <w:rsid w:val="00590B1B"/>
    <w:rsid w:val="00594AA6"/>
    <w:rsid w:val="00594C0D"/>
    <w:rsid w:val="005A4171"/>
    <w:rsid w:val="005B6AD7"/>
    <w:rsid w:val="005B785D"/>
    <w:rsid w:val="005C49A7"/>
    <w:rsid w:val="005C5845"/>
    <w:rsid w:val="005D0CB7"/>
    <w:rsid w:val="005F15E5"/>
    <w:rsid w:val="005F5B55"/>
    <w:rsid w:val="00600ED9"/>
    <w:rsid w:val="00603753"/>
    <w:rsid w:val="0061311A"/>
    <w:rsid w:val="00613EC6"/>
    <w:rsid w:val="006217F4"/>
    <w:rsid w:val="0062690D"/>
    <w:rsid w:val="00633EFD"/>
    <w:rsid w:val="00644D04"/>
    <w:rsid w:val="00660880"/>
    <w:rsid w:val="006611F0"/>
    <w:rsid w:val="00662E15"/>
    <w:rsid w:val="006748A6"/>
    <w:rsid w:val="00675673"/>
    <w:rsid w:val="00675ACD"/>
    <w:rsid w:val="006762A6"/>
    <w:rsid w:val="00694449"/>
    <w:rsid w:val="006B2FB3"/>
    <w:rsid w:val="006E1055"/>
    <w:rsid w:val="006F1B85"/>
    <w:rsid w:val="006F4185"/>
    <w:rsid w:val="006F4B42"/>
    <w:rsid w:val="007017AA"/>
    <w:rsid w:val="007236A1"/>
    <w:rsid w:val="00723F98"/>
    <w:rsid w:val="00724FE7"/>
    <w:rsid w:val="0073052C"/>
    <w:rsid w:val="007501B0"/>
    <w:rsid w:val="0076602C"/>
    <w:rsid w:val="0077610A"/>
    <w:rsid w:val="0079000A"/>
    <w:rsid w:val="00791946"/>
    <w:rsid w:val="00794779"/>
    <w:rsid w:val="007A1656"/>
    <w:rsid w:val="007B11D7"/>
    <w:rsid w:val="007B54E8"/>
    <w:rsid w:val="007B5A4E"/>
    <w:rsid w:val="007D0CA6"/>
    <w:rsid w:val="007D14F1"/>
    <w:rsid w:val="007E18CE"/>
    <w:rsid w:val="007E6295"/>
    <w:rsid w:val="007F1167"/>
    <w:rsid w:val="007F622A"/>
    <w:rsid w:val="00802F32"/>
    <w:rsid w:val="00814796"/>
    <w:rsid w:val="00825847"/>
    <w:rsid w:val="0084298B"/>
    <w:rsid w:val="00846245"/>
    <w:rsid w:val="008511B3"/>
    <w:rsid w:val="00852671"/>
    <w:rsid w:val="008623A3"/>
    <w:rsid w:val="00862BD1"/>
    <w:rsid w:val="00873886"/>
    <w:rsid w:val="0087477E"/>
    <w:rsid w:val="00882AA7"/>
    <w:rsid w:val="00892F81"/>
    <w:rsid w:val="00897BBC"/>
    <w:rsid w:val="008A04B3"/>
    <w:rsid w:val="008A6B54"/>
    <w:rsid w:val="008E2428"/>
    <w:rsid w:val="008F15BE"/>
    <w:rsid w:val="00907CCE"/>
    <w:rsid w:val="00911507"/>
    <w:rsid w:val="00912175"/>
    <w:rsid w:val="00920C75"/>
    <w:rsid w:val="00921D31"/>
    <w:rsid w:val="00923ED8"/>
    <w:rsid w:val="009252E0"/>
    <w:rsid w:val="009351AD"/>
    <w:rsid w:val="0095330D"/>
    <w:rsid w:val="0095536B"/>
    <w:rsid w:val="00955A37"/>
    <w:rsid w:val="00970542"/>
    <w:rsid w:val="00972851"/>
    <w:rsid w:val="00982359"/>
    <w:rsid w:val="00984C34"/>
    <w:rsid w:val="009917B6"/>
    <w:rsid w:val="0099559E"/>
    <w:rsid w:val="009964B5"/>
    <w:rsid w:val="009A375D"/>
    <w:rsid w:val="009A38FF"/>
    <w:rsid w:val="009A4300"/>
    <w:rsid w:val="009B370B"/>
    <w:rsid w:val="009B5C80"/>
    <w:rsid w:val="009C2B6F"/>
    <w:rsid w:val="009C39E4"/>
    <w:rsid w:val="009D0F4F"/>
    <w:rsid w:val="009D44FF"/>
    <w:rsid w:val="009E19FC"/>
    <w:rsid w:val="009E2FC5"/>
    <w:rsid w:val="009E53CF"/>
    <w:rsid w:val="009F6346"/>
    <w:rsid w:val="009F64DF"/>
    <w:rsid w:val="009F7868"/>
    <w:rsid w:val="00A067D5"/>
    <w:rsid w:val="00A206A3"/>
    <w:rsid w:val="00A24FB8"/>
    <w:rsid w:val="00A27A44"/>
    <w:rsid w:val="00A34DE6"/>
    <w:rsid w:val="00A36886"/>
    <w:rsid w:val="00A37343"/>
    <w:rsid w:val="00A4406D"/>
    <w:rsid w:val="00A57206"/>
    <w:rsid w:val="00A57520"/>
    <w:rsid w:val="00A61063"/>
    <w:rsid w:val="00A61B3F"/>
    <w:rsid w:val="00A63270"/>
    <w:rsid w:val="00A72551"/>
    <w:rsid w:val="00A72822"/>
    <w:rsid w:val="00A945AA"/>
    <w:rsid w:val="00A9588D"/>
    <w:rsid w:val="00AB3632"/>
    <w:rsid w:val="00AB5265"/>
    <w:rsid w:val="00AD0FE6"/>
    <w:rsid w:val="00AD2943"/>
    <w:rsid w:val="00AE048B"/>
    <w:rsid w:val="00AE0804"/>
    <w:rsid w:val="00AF0480"/>
    <w:rsid w:val="00AF4D41"/>
    <w:rsid w:val="00B05CEA"/>
    <w:rsid w:val="00B14FC9"/>
    <w:rsid w:val="00B20266"/>
    <w:rsid w:val="00B22B1C"/>
    <w:rsid w:val="00B2778D"/>
    <w:rsid w:val="00B27AF5"/>
    <w:rsid w:val="00B30BBB"/>
    <w:rsid w:val="00B40B67"/>
    <w:rsid w:val="00B42441"/>
    <w:rsid w:val="00B4305F"/>
    <w:rsid w:val="00B53A72"/>
    <w:rsid w:val="00B53F33"/>
    <w:rsid w:val="00B75267"/>
    <w:rsid w:val="00B80A09"/>
    <w:rsid w:val="00B903FB"/>
    <w:rsid w:val="00BA51A1"/>
    <w:rsid w:val="00BB1355"/>
    <w:rsid w:val="00BC60B7"/>
    <w:rsid w:val="00BD15D4"/>
    <w:rsid w:val="00BD5467"/>
    <w:rsid w:val="00BE43DE"/>
    <w:rsid w:val="00BE6296"/>
    <w:rsid w:val="00BF0E28"/>
    <w:rsid w:val="00BF4FE9"/>
    <w:rsid w:val="00BF5785"/>
    <w:rsid w:val="00C04054"/>
    <w:rsid w:val="00C06F75"/>
    <w:rsid w:val="00C355A7"/>
    <w:rsid w:val="00C36160"/>
    <w:rsid w:val="00C36521"/>
    <w:rsid w:val="00C457FB"/>
    <w:rsid w:val="00C47BCE"/>
    <w:rsid w:val="00C602B1"/>
    <w:rsid w:val="00C64E76"/>
    <w:rsid w:val="00C709D1"/>
    <w:rsid w:val="00C73125"/>
    <w:rsid w:val="00C852D7"/>
    <w:rsid w:val="00C85BF9"/>
    <w:rsid w:val="00C87228"/>
    <w:rsid w:val="00C90E67"/>
    <w:rsid w:val="00CA78EE"/>
    <w:rsid w:val="00CB7D6D"/>
    <w:rsid w:val="00CC56DF"/>
    <w:rsid w:val="00CE42C0"/>
    <w:rsid w:val="00CE7192"/>
    <w:rsid w:val="00CE79D0"/>
    <w:rsid w:val="00CF16CE"/>
    <w:rsid w:val="00D00E28"/>
    <w:rsid w:val="00D21A76"/>
    <w:rsid w:val="00D231E5"/>
    <w:rsid w:val="00D27E4B"/>
    <w:rsid w:val="00D32009"/>
    <w:rsid w:val="00D64512"/>
    <w:rsid w:val="00D723E0"/>
    <w:rsid w:val="00D73D7E"/>
    <w:rsid w:val="00D75F2B"/>
    <w:rsid w:val="00D93405"/>
    <w:rsid w:val="00D945D1"/>
    <w:rsid w:val="00DB25EA"/>
    <w:rsid w:val="00DB5CBE"/>
    <w:rsid w:val="00DC2850"/>
    <w:rsid w:val="00DD0551"/>
    <w:rsid w:val="00DD2461"/>
    <w:rsid w:val="00DD2D1C"/>
    <w:rsid w:val="00DD7421"/>
    <w:rsid w:val="00DF3BAA"/>
    <w:rsid w:val="00E02D16"/>
    <w:rsid w:val="00E14F52"/>
    <w:rsid w:val="00E15334"/>
    <w:rsid w:val="00E1733A"/>
    <w:rsid w:val="00E23328"/>
    <w:rsid w:val="00E30B1A"/>
    <w:rsid w:val="00E34130"/>
    <w:rsid w:val="00E4591D"/>
    <w:rsid w:val="00E47C1E"/>
    <w:rsid w:val="00E5793C"/>
    <w:rsid w:val="00E61206"/>
    <w:rsid w:val="00E62A95"/>
    <w:rsid w:val="00E73D2D"/>
    <w:rsid w:val="00E83CD0"/>
    <w:rsid w:val="00E84280"/>
    <w:rsid w:val="00E85BCA"/>
    <w:rsid w:val="00E86E53"/>
    <w:rsid w:val="00E952E1"/>
    <w:rsid w:val="00E96C58"/>
    <w:rsid w:val="00EA3394"/>
    <w:rsid w:val="00EC2169"/>
    <w:rsid w:val="00EC6B69"/>
    <w:rsid w:val="00ED43F2"/>
    <w:rsid w:val="00EE360F"/>
    <w:rsid w:val="00EE636E"/>
    <w:rsid w:val="00EE6ADD"/>
    <w:rsid w:val="00F107B0"/>
    <w:rsid w:val="00F10B3A"/>
    <w:rsid w:val="00F2762F"/>
    <w:rsid w:val="00F30B56"/>
    <w:rsid w:val="00F33000"/>
    <w:rsid w:val="00F41535"/>
    <w:rsid w:val="00F466B1"/>
    <w:rsid w:val="00F4734A"/>
    <w:rsid w:val="00F55411"/>
    <w:rsid w:val="00F70B7A"/>
    <w:rsid w:val="00F716A7"/>
    <w:rsid w:val="00F8332E"/>
    <w:rsid w:val="00F94935"/>
    <w:rsid w:val="00F9567D"/>
    <w:rsid w:val="00FA0B8D"/>
    <w:rsid w:val="00FA3249"/>
    <w:rsid w:val="00FA77A3"/>
    <w:rsid w:val="00FB19F2"/>
    <w:rsid w:val="00FB5B12"/>
    <w:rsid w:val="00FC2ADD"/>
    <w:rsid w:val="00FD30AA"/>
    <w:rsid w:val="00FF28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7F89E"/>
  <w15:chartTrackingRefBased/>
  <w15:docId w15:val="{E93574C9-D813-47FC-8529-A7F87090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AA"/>
    <w:pPr>
      <w:spacing w:after="0" w:line="240" w:lineRule="auto"/>
    </w:pPr>
    <w:rPr>
      <w:rFonts w:ascii="Times New Roman" w:eastAsia="Times New Roman"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2A95"/>
    <w:rPr>
      <w:color w:val="808080"/>
    </w:rPr>
  </w:style>
  <w:style w:type="paragraph" w:styleId="BalloonText">
    <w:name w:val="Balloon Text"/>
    <w:basedOn w:val="Normal"/>
    <w:link w:val="BalloonTextChar"/>
    <w:uiPriority w:val="99"/>
    <w:semiHidden/>
    <w:unhideWhenUsed/>
    <w:rsid w:val="00701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7AA"/>
    <w:rPr>
      <w:rFonts w:ascii="Segoe UI" w:hAnsi="Segoe UI" w:cs="Segoe UI"/>
      <w:sz w:val="18"/>
      <w:szCs w:val="18"/>
    </w:rPr>
  </w:style>
  <w:style w:type="table" w:styleId="TableGrid">
    <w:name w:val="Table Grid"/>
    <w:basedOn w:val="TableNormal"/>
    <w:uiPriority w:val="39"/>
    <w:rsid w:val="00E14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85BCA"/>
    <w:rPr>
      <w:sz w:val="16"/>
      <w:szCs w:val="16"/>
    </w:rPr>
  </w:style>
  <w:style w:type="paragraph" w:styleId="CommentText">
    <w:name w:val="annotation text"/>
    <w:basedOn w:val="Normal"/>
    <w:link w:val="CommentTextChar"/>
    <w:uiPriority w:val="99"/>
    <w:unhideWhenUsed/>
    <w:rsid w:val="00E85BCA"/>
    <w:rPr>
      <w:sz w:val="20"/>
      <w:szCs w:val="20"/>
    </w:rPr>
  </w:style>
  <w:style w:type="character" w:customStyle="1" w:styleId="CommentTextChar">
    <w:name w:val="Comment Text Char"/>
    <w:basedOn w:val="DefaultParagraphFont"/>
    <w:link w:val="CommentText"/>
    <w:uiPriority w:val="99"/>
    <w:rsid w:val="00E85BCA"/>
    <w:rPr>
      <w:sz w:val="20"/>
      <w:szCs w:val="20"/>
    </w:rPr>
  </w:style>
  <w:style w:type="paragraph" w:styleId="CommentSubject">
    <w:name w:val="annotation subject"/>
    <w:basedOn w:val="CommentText"/>
    <w:next w:val="CommentText"/>
    <w:link w:val="CommentSubjectChar"/>
    <w:uiPriority w:val="99"/>
    <w:semiHidden/>
    <w:unhideWhenUsed/>
    <w:rsid w:val="00E85BCA"/>
    <w:rPr>
      <w:b/>
      <w:bCs/>
    </w:rPr>
  </w:style>
  <w:style w:type="character" w:customStyle="1" w:styleId="CommentSubjectChar">
    <w:name w:val="Comment Subject Char"/>
    <w:basedOn w:val="CommentTextChar"/>
    <w:link w:val="CommentSubject"/>
    <w:uiPriority w:val="99"/>
    <w:semiHidden/>
    <w:rsid w:val="00E85BCA"/>
    <w:rPr>
      <w:b/>
      <w:bCs/>
      <w:sz w:val="20"/>
      <w:szCs w:val="20"/>
    </w:rPr>
  </w:style>
  <w:style w:type="paragraph" w:styleId="ListParagraph">
    <w:name w:val="List Paragraph"/>
    <w:basedOn w:val="Normal"/>
    <w:uiPriority w:val="34"/>
    <w:qFormat/>
    <w:rsid w:val="00C04054"/>
    <w:pPr>
      <w:ind w:left="720"/>
      <w:contextualSpacing/>
    </w:pPr>
  </w:style>
  <w:style w:type="paragraph" w:styleId="Header">
    <w:name w:val="header"/>
    <w:basedOn w:val="Normal"/>
    <w:link w:val="HeaderChar"/>
    <w:uiPriority w:val="99"/>
    <w:unhideWhenUsed/>
    <w:rsid w:val="00B903FB"/>
    <w:pPr>
      <w:tabs>
        <w:tab w:val="center" w:pos="4680"/>
        <w:tab w:val="right" w:pos="9360"/>
      </w:tabs>
    </w:pPr>
  </w:style>
  <w:style w:type="character" w:customStyle="1" w:styleId="HeaderChar">
    <w:name w:val="Header Char"/>
    <w:basedOn w:val="DefaultParagraphFont"/>
    <w:link w:val="Header"/>
    <w:uiPriority w:val="99"/>
    <w:rsid w:val="00B903FB"/>
    <w:rPr>
      <w:rFonts w:ascii="Times New Roman" w:eastAsia="Times New Roman" w:hAnsi="Times New Roman" w:cs="Times New Roman"/>
      <w:sz w:val="24"/>
      <w:szCs w:val="24"/>
      <w:lang w:eastAsia="ko-KR"/>
    </w:rPr>
  </w:style>
  <w:style w:type="paragraph" w:styleId="Footer">
    <w:name w:val="footer"/>
    <w:basedOn w:val="Normal"/>
    <w:link w:val="FooterChar"/>
    <w:uiPriority w:val="99"/>
    <w:unhideWhenUsed/>
    <w:qFormat/>
    <w:rsid w:val="00B903FB"/>
    <w:pPr>
      <w:tabs>
        <w:tab w:val="center" w:pos="4680"/>
        <w:tab w:val="right" w:pos="9360"/>
      </w:tabs>
    </w:pPr>
  </w:style>
  <w:style w:type="character" w:customStyle="1" w:styleId="FooterChar">
    <w:name w:val="Footer Char"/>
    <w:basedOn w:val="DefaultParagraphFont"/>
    <w:link w:val="Footer"/>
    <w:uiPriority w:val="99"/>
    <w:rsid w:val="00B903FB"/>
    <w:rPr>
      <w:rFonts w:ascii="Times New Roman" w:eastAsia="Times New Roman" w:hAnsi="Times New Roman" w:cs="Times New Roman"/>
      <w:sz w:val="24"/>
      <w:szCs w:val="24"/>
      <w:lang w:eastAsia="ko-KR"/>
    </w:rPr>
  </w:style>
  <w:style w:type="paragraph" w:styleId="FootnoteText">
    <w:name w:val="footnote text"/>
    <w:basedOn w:val="Normal"/>
    <w:link w:val="FootnoteTextChar"/>
    <w:uiPriority w:val="99"/>
    <w:semiHidden/>
    <w:unhideWhenUsed/>
    <w:rsid w:val="00B903FB"/>
    <w:rPr>
      <w:sz w:val="20"/>
      <w:szCs w:val="20"/>
    </w:rPr>
  </w:style>
  <w:style w:type="character" w:customStyle="1" w:styleId="FootnoteTextChar">
    <w:name w:val="Footnote Text Char"/>
    <w:basedOn w:val="DefaultParagraphFont"/>
    <w:link w:val="FootnoteText"/>
    <w:uiPriority w:val="99"/>
    <w:semiHidden/>
    <w:rsid w:val="00B903FB"/>
    <w:rPr>
      <w:rFonts w:ascii="Times New Roman" w:eastAsia="Times New Roman" w:hAnsi="Times New Roman" w:cs="Times New Roman"/>
      <w:sz w:val="20"/>
      <w:szCs w:val="20"/>
      <w:lang w:eastAsia="ko-KR"/>
    </w:rPr>
  </w:style>
  <w:style w:type="character" w:styleId="FootnoteReference">
    <w:name w:val="footnote reference"/>
    <w:basedOn w:val="DefaultParagraphFont"/>
    <w:uiPriority w:val="99"/>
    <w:semiHidden/>
    <w:unhideWhenUsed/>
    <w:rsid w:val="00B903FB"/>
    <w:rPr>
      <w:vertAlign w:val="superscript"/>
    </w:rPr>
  </w:style>
  <w:style w:type="character" w:styleId="Hyperlink">
    <w:name w:val="Hyperlink"/>
    <w:basedOn w:val="DefaultParagraphFont"/>
    <w:uiPriority w:val="99"/>
    <w:unhideWhenUsed/>
    <w:rsid w:val="00C06F75"/>
    <w:rPr>
      <w:color w:val="0563C1" w:themeColor="hyperlink"/>
      <w:u w:val="single"/>
    </w:rPr>
  </w:style>
  <w:style w:type="character" w:styleId="UnresolvedMention">
    <w:name w:val="Unresolved Mention"/>
    <w:basedOn w:val="DefaultParagraphFont"/>
    <w:uiPriority w:val="99"/>
    <w:semiHidden/>
    <w:unhideWhenUsed/>
    <w:rsid w:val="00C06F75"/>
    <w:rPr>
      <w:color w:val="605E5C"/>
      <w:shd w:val="clear" w:color="auto" w:fill="E1DFDD"/>
    </w:rPr>
  </w:style>
  <w:style w:type="table" w:styleId="GridTable3-Accent1">
    <w:name w:val="Grid Table 3 Accent 1"/>
    <w:basedOn w:val="TableNormal"/>
    <w:uiPriority w:val="48"/>
    <w:rsid w:val="00C47BC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4-Accent5">
    <w:name w:val="Grid Table 4 Accent 5"/>
    <w:basedOn w:val="TableNormal"/>
    <w:uiPriority w:val="49"/>
    <w:rsid w:val="00B4305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040C56"/>
    <w:rPr>
      <w:color w:val="954F72" w:themeColor="followedHyperlink"/>
      <w:u w:val="single"/>
    </w:rPr>
  </w:style>
  <w:style w:type="paragraph" w:styleId="Revision">
    <w:name w:val="Revision"/>
    <w:hidden/>
    <w:uiPriority w:val="99"/>
    <w:semiHidden/>
    <w:rsid w:val="00FF2809"/>
    <w:pPr>
      <w:spacing w:after="0"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2017">
      <w:bodyDiv w:val="1"/>
      <w:marLeft w:val="0"/>
      <w:marRight w:val="0"/>
      <w:marTop w:val="0"/>
      <w:marBottom w:val="0"/>
      <w:divBdr>
        <w:top w:val="none" w:sz="0" w:space="0" w:color="auto"/>
        <w:left w:val="none" w:sz="0" w:space="0" w:color="auto"/>
        <w:bottom w:val="none" w:sz="0" w:space="0" w:color="auto"/>
        <w:right w:val="none" w:sz="0" w:space="0" w:color="auto"/>
      </w:divBdr>
    </w:div>
    <w:div w:id="85614226">
      <w:bodyDiv w:val="1"/>
      <w:marLeft w:val="0"/>
      <w:marRight w:val="0"/>
      <w:marTop w:val="0"/>
      <w:marBottom w:val="0"/>
      <w:divBdr>
        <w:top w:val="none" w:sz="0" w:space="0" w:color="auto"/>
        <w:left w:val="none" w:sz="0" w:space="0" w:color="auto"/>
        <w:bottom w:val="none" w:sz="0" w:space="0" w:color="auto"/>
        <w:right w:val="none" w:sz="0" w:space="0" w:color="auto"/>
      </w:divBdr>
    </w:div>
    <w:div w:id="147215756">
      <w:bodyDiv w:val="1"/>
      <w:marLeft w:val="0"/>
      <w:marRight w:val="0"/>
      <w:marTop w:val="0"/>
      <w:marBottom w:val="0"/>
      <w:divBdr>
        <w:top w:val="none" w:sz="0" w:space="0" w:color="auto"/>
        <w:left w:val="none" w:sz="0" w:space="0" w:color="auto"/>
        <w:bottom w:val="none" w:sz="0" w:space="0" w:color="auto"/>
        <w:right w:val="none" w:sz="0" w:space="0" w:color="auto"/>
      </w:divBdr>
    </w:div>
    <w:div w:id="200672173">
      <w:bodyDiv w:val="1"/>
      <w:marLeft w:val="0"/>
      <w:marRight w:val="0"/>
      <w:marTop w:val="0"/>
      <w:marBottom w:val="0"/>
      <w:divBdr>
        <w:top w:val="none" w:sz="0" w:space="0" w:color="auto"/>
        <w:left w:val="none" w:sz="0" w:space="0" w:color="auto"/>
        <w:bottom w:val="none" w:sz="0" w:space="0" w:color="auto"/>
        <w:right w:val="none" w:sz="0" w:space="0" w:color="auto"/>
      </w:divBdr>
    </w:div>
    <w:div w:id="248126935">
      <w:bodyDiv w:val="1"/>
      <w:marLeft w:val="0"/>
      <w:marRight w:val="0"/>
      <w:marTop w:val="0"/>
      <w:marBottom w:val="0"/>
      <w:divBdr>
        <w:top w:val="none" w:sz="0" w:space="0" w:color="auto"/>
        <w:left w:val="none" w:sz="0" w:space="0" w:color="auto"/>
        <w:bottom w:val="none" w:sz="0" w:space="0" w:color="auto"/>
        <w:right w:val="none" w:sz="0" w:space="0" w:color="auto"/>
      </w:divBdr>
    </w:div>
    <w:div w:id="362750741">
      <w:bodyDiv w:val="1"/>
      <w:marLeft w:val="0"/>
      <w:marRight w:val="0"/>
      <w:marTop w:val="0"/>
      <w:marBottom w:val="0"/>
      <w:divBdr>
        <w:top w:val="none" w:sz="0" w:space="0" w:color="auto"/>
        <w:left w:val="none" w:sz="0" w:space="0" w:color="auto"/>
        <w:bottom w:val="none" w:sz="0" w:space="0" w:color="auto"/>
        <w:right w:val="none" w:sz="0" w:space="0" w:color="auto"/>
      </w:divBdr>
      <w:divsChild>
        <w:div w:id="2110081000">
          <w:marLeft w:val="0"/>
          <w:marRight w:val="0"/>
          <w:marTop w:val="0"/>
          <w:marBottom w:val="0"/>
          <w:divBdr>
            <w:top w:val="none" w:sz="0" w:space="0" w:color="auto"/>
            <w:left w:val="none" w:sz="0" w:space="0" w:color="auto"/>
            <w:bottom w:val="none" w:sz="0" w:space="0" w:color="auto"/>
            <w:right w:val="none" w:sz="0" w:space="0" w:color="auto"/>
          </w:divBdr>
        </w:div>
      </w:divsChild>
    </w:div>
    <w:div w:id="557402624">
      <w:bodyDiv w:val="1"/>
      <w:marLeft w:val="0"/>
      <w:marRight w:val="0"/>
      <w:marTop w:val="0"/>
      <w:marBottom w:val="0"/>
      <w:divBdr>
        <w:top w:val="none" w:sz="0" w:space="0" w:color="auto"/>
        <w:left w:val="none" w:sz="0" w:space="0" w:color="auto"/>
        <w:bottom w:val="none" w:sz="0" w:space="0" w:color="auto"/>
        <w:right w:val="none" w:sz="0" w:space="0" w:color="auto"/>
      </w:divBdr>
    </w:div>
    <w:div w:id="599919195">
      <w:bodyDiv w:val="1"/>
      <w:marLeft w:val="0"/>
      <w:marRight w:val="0"/>
      <w:marTop w:val="0"/>
      <w:marBottom w:val="0"/>
      <w:divBdr>
        <w:top w:val="none" w:sz="0" w:space="0" w:color="auto"/>
        <w:left w:val="none" w:sz="0" w:space="0" w:color="auto"/>
        <w:bottom w:val="none" w:sz="0" w:space="0" w:color="auto"/>
        <w:right w:val="none" w:sz="0" w:space="0" w:color="auto"/>
      </w:divBdr>
    </w:div>
    <w:div w:id="624700609">
      <w:bodyDiv w:val="1"/>
      <w:marLeft w:val="0"/>
      <w:marRight w:val="0"/>
      <w:marTop w:val="0"/>
      <w:marBottom w:val="0"/>
      <w:divBdr>
        <w:top w:val="none" w:sz="0" w:space="0" w:color="auto"/>
        <w:left w:val="none" w:sz="0" w:space="0" w:color="auto"/>
        <w:bottom w:val="none" w:sz="0" w:space="0" w:color="auto"/>
        <w:right w:val="none" w:sz="0" w:space="0" w:color="auto"/>
      </w:divBdr>
    </w:div>
    <w:div w:id="643002504">
      <w:bodyDiv w:val="1"/>
      <w:marLeft w:val="0"/>
      <w:marRight w:val="0"/>
      <w:marTop w:val="0"/>
      <w:marBottom w:val="0"/>
      <w:divBdr>
        <w:top w:val="none" w:sz="0" w:space="0" w:color="auto"/>
        <w:left w:val="none" w:sz="0" w:space="0" w:color="auto"/>
        <w:bottom w:val="none" w:sz="0" w:space="0" w:color="auto"/>
        <w:right w:val="none" w:sz="0" w:space="0" w:color="auto"/>
      </w:divBdr>
    </w:div>
    <w:div w:id="662784883">
      <w:bodyDiv w:val="1"/>
      <w:marLeft w:val="0"/>
      <w:marRight w:val="0"/>
      <w:marTop w:val="0"/>
      <w:marBottom w:val="0"/>
      <w:divBdr>
        <w:top w:val="none" w:sz="0" w:space="0" w:color="auto"/>
        <w:left w:val="none" w:sz="0" w:space="0" w:color="auto"/>
        <w:bottom w:val="none" w:sz="0" w:space="0" w:color="auto"/>
        <w:right w:val="none" w:sz="0" w:space="0" w:color="auto"/>
      </w:divBdr>
    </w:div>
    <w:div w:id="779034063">
      <w:bodyDiv w:val="1"/>
      <w:marLeft w:val="0"/>
      <w:marRight w:val="0"/>
      <w:marTop w:val="0"/>
      <w:marBottom w:val="0"/>
      <w:divBdr>
        <w:top w:val="none" w:sz="0" w:space="0" w:color="auto"/>
        <w:left w:val="none" w:sz="0" w:space="0" w:color="auto"/>
        <w:bottom w:val="none" w:sz="0" w:space="0" w:color="auto"/>
        <w:right w:val="none" w:sz="0" w:space="0" w:color="auto"/>
      </w:divBdr>
    </w:div>
    <w:div w:id="790899203">
      <w:bodyDiv w:val="1"/>
      <w:marLeft w:val="0"/>
      <w:marRight w:val="0"/>
      <w:marTop w:val="0"/>
      <w:marBottom w:val="0"/>
      <w:divBdr>
        <w:top w:val="none" w:sz="0" w:space="0" w:color="auto"/>
        <w:left w:val="none" w:sz="0" w:space="0" w:color="auto"/>
        <w:bottom w:val="none" w:sz="0" w:space="0" w:color="auto"/>
        <w:right w:val="none" w:sz="0" w:space="0" w:color="auto"/>
      </w:divBdr>
      <w:divsChild>
        <w:div w:id="142889856">
          <w:marLeft w:val="0"/>
          <w:marRight w:val="0"/>
          <w:marTop w:val="0"/>
          <w:marBottom w:val="0"/>
          <w:divBdr>
            <w:top w:val="none" w:sz="0" w:space="0" w:color="auto"/>
            <w:left w:val="none" w:sz="0" w:space="0" w:color="auto"/>
            <w:bottom w:val="none" w:sz="0" w:space="0" w:color="auto"/>
            <w:right w:val="none" w:sz="0" w:space="0" w:color="auto"/>
          </w:divBdr>
        </w:div>
      </w:divsChild>
    </w:div>
    <w:div w:id="899903386">
      <w:bodyDiv w:val="1"/>
      <w:marLeft w:val="0"/>
      <w:marRight w:val="0"/>
      <w:marTop w:val="0"/>
      <w:marBottom w:val="0"/>
      <w:divBdr>
        <w:top w:val="none" w:sz="0" w:space="0" w:color="auto"/>
        <w:left w:val="none" w:sz="0" w:space="0" w:color="auto"/>
        <w:bottom w:val="none" w:sz="0" w:space="0" w:color="auto"/>
        <w:right w:val="none" w:sz="0" w:space="0" w:color="auto"/>
      </w:divBdr>
    </w:div>
    <w:div w:id="943265815">
      <w:bodyDiv w:val="1"/>
      <w:marLeft w:val="0"/>
      <w:marRight w:val="0"/>
      <w:marTop w:val="0"/>
      <w:marBottom w:val="0"/>
      <w:divBdr>
        <w:top w:val="none" w:sz="0" w:space="0" w:color="auto"/>
        <w:left w:val="none" w:sz="0" w:space="0" w:color="auto"/>
        <w:bottom w:val="none" w:sz="0" w:space="0" w:color="auto"/>
        <w:right w:val="none" w:sz="0" w:space="0" w:color="auto"/>
      </w:divBdr>
    </w:div>
    <w:div w:id="1016733974">
      <w:bodyDiv w:val="1"/>
      <w:marLeft w:val="0"/>
      <w:marRight w:val="0"/>
      <w:marTop w:val="0"/>
      <w:marBottom w:val="0"/>
      <w:divBdr>
        <w:top w:val="none" w:sz="0" w:space="0" w:color="auto"/>
        <w:left w:val="none" w:sz="0" w:space="0" w:color="auto"/>
        <w:bottom w:val="none" w:sz="0" w:space="0" w:color="auto"/>
        <w:right w:val="none" w:sz="0" w:space="0" w:color="auto"/>
      </w:divBdr>
    </w:div>
    <w:div w:id="1045713864">
      <w:bodyDiv w:val="1"/>
      <w:marLeft w:val="0"/>
      <w:marRight w:val="0"/>
      <w:marTop w:val="0"/>
      <w:marBottom w:val="0"/>
      <w:divBdr>
        <w:top w:val="none" w:sz="0" w:space="0" w:color="auto"/>
        <w:left w:val="none" w:sz="0" w:space="0" w:color="auto"/>
        <w:bottom w:val="none" w:sz="0" w:space="0" w:color="auto"/>
        <w:right w:val="none" w:sz="0" w:space="0" w:color="auto"/>
      </w:divBdr>
    </w:div>
    <w:div w:id="1106342496">
      <w:bodyDiv w:val="1"/>
      <w:marLeft w:val="0"/>
      <w:marRight w:val="0"/>
      <w:marTop w:val="0"/>
      <w:marBottom w:val="0"/>
      <w:divBdr>
        <w:top w:val="none" w:sz="0" w:space="0" w:color="auto"/>
        <w:left w:val="none" w:sz="0" w:space="0" w:color="auto"/>
        <w:bottom w:val="none" w:sz="0" w:space="0" w:color="auto"/>
        <w:right w:val="none" w:sz="0" w:space="0" w:color="auto"/>
      </w:divBdr>
    </w:div>
    <w:div w:id="1181894129">
      <w:bodyDiv w:val="1"/>
      <w:marLeft w:val="0"/>
      <w:marRight w:val="0"/>
      <w:marTop w:val="0"/>
      <w:marBottom w:val="0"/>
      <w:divBdr>
        <w:top w:val="none" w:sz="0" w:space="0" w:color="auto"/>
        <w:left w:val="none" w:sz="0" w:space="0" w:color="auto"/>
        <w:bottom w:val="none" w:sz="0" w:space="0" w:color="auto"/>
        <w:right w:val="none" w:sz="0" w:space="0" w:color="auto"/>
      </w:divBdr>
    </w:div>
    <w:div w:id="1183737847">
      <w:bodyDiv w:val="1"/>
      <w:marLeft w:val="0"/>
      <w:marRight w:val="0"/>
      <w:marTop w:val="0"/>
      <w:marBottom w:val="0"/>
      <w:divBdr>
        <w:top w:val="none" w:sz="0" w:space="0" w:color="auto"/>
        <w:left w:val="none" w:sz="0" w:space="0" w:color="auto"/>
        <w:bottom w:val="none" w:sz="0" w:space="0" w:color="auto"/>
        <w:right w:val="none" w:sz="0" w:space="0" w:color="auto"/>
      </w:divBdr>
      <w:divsChild>
        <w:div w:id="842161595">
          <w:marLeft w:val="0"/>
          <w:marRight w:val="0"/>
          <w:marTop w:val="0"/>
          <w:marBottom w:val="0"/>
          <w:divBdr>
            <w:top w:val="none" w:sz="0" w:space="0" w:color="auto"/>
            <w:left w:val="none" w:sz="0" w:space="0" w:color="auto"/>
            <w:bottom w:val="none" w:sz="0" w:space="0" w:color="auto"/>
            <w:right w:val="none" w:sz="0" w:space="0" w:color="auto"/>
          </w:divBdr>
        </w:div>
      </w:divsChild>
    </w:div>
    <w:div w:id="1279339392">
      <w:bodyDiv w:val="1"/>
      <w:marLeft w:val="0"/>
      <w:marRight w:val="0"/>
      <w:marTop w:val="0"/>
      <w:marBottom w:val="0"/>
      <w:divBdr>
        <w:top w:val="none" w:sz="0" w:space="0" w:color="auto"/>
        <w:left w:val="none" w:sz="0" w:space="0" w:color="auto"/>
        <w:bottom w:val="none" w:sz="0" w:space="0" w:color="auto"/>
        <w:right w:val="none" w:sz="0" w:space="0" w:color="auto"/>
      </w:divBdr>
    </w:div>
    <w:div w:id="1305429052">
      <w:bodyDiv w:val="1"/>
      <w:marLeft w:val="0"/>
      <w:marRight w:val="0"/>
      <w:marTop w:val="0"/>
      <w:marBottom w:val="0"/>
      <w:divBdr>
        <w:top w:val="none" w:sz="0" w:space="0" w:color="auto"/>
        <w:left w:val="none" w:sz="0" w:space="0" w:color="auto"/>
        <w:bottom w:val="none" w:sz="0" w:space="0" w:color="auto"/>
        <w:right w:val="none" w:sz="0" w:space="0" w:color="auto"/>
      </w:divBdr>
    </w:div>
    <w:div w:id="1328098745">
      <w:bodyDiv w:val="1"/>
      <w:marLeft w:val="0"/>
      <w:marRight w:val="0"/>
      <w:marTop w:val="0"/>
      <w:marBottom w:val="0"/>
      <w:divBdr>
        <w:top w:val="none" w:sz="0" w:space="0" w:color="auto"/>
        <w:left w:val="none" w:sz="0" w:space="0" w:color="auto"/>
        <w:bottom w:val="none" w:sz="0" w:space="0" w:color="auto"/>
        <w:right w:val="none" w:sz="0" w:space="0" w:color="auto"/>
      </w:divBdr>
    </w:div>
    <w:div w:id="1388258253">
      <w:bodyDiv w:val="1"/>
      <w:marLeft w:val="0"/>
      <w:marRight w:val="0"/>
      <w:marTop w:val="0"/>
      <w:marBottom w:val="0"/>
      <w:divBdr>
        <w:top w:val="none" w:sz="0" w:space="0" w:color="auto"/>
        <w:left w:val="none" w:sz="0" w:space="0" w:color="auto"/>
        <w:bottom w:val="none" w:sz="0" w:space="0" w:color="auto"/>
        <w:right w:val="none" w:sz="0" w:space="0" w:color="auto"/>
      </w:divBdr>
    </w:div>
    <w:div w:id="1403597787">
      <w:bodyDiv w:val="1"/>
      <w:marLeft w:val="0"/>
      <w:marRight w:val="0"/>
      <w:marTop w:val="0"/>
      <w:marBottom w:val="0"/>
      <w:divBdr>
        <w:top w:val="none" w:sz="0" w:space="0" w:color="auto"/>
        <w:left w:val="none" w:sz="0" w:space="0" w:color="auto"/>
        <w:bottom w:val="none" w:sz="0" w:space="0" w:color="auto"/>
        <w:right w:val="none" w:sz="0" w:space="0" w:color="auto"/>
      </w:divBdr>
    </w:div>
    <w:div w:id="1628781297">
      <w:bodyDiv w:val="1"/>
      <w:marLeft w:val="0"/>
      <w:marRight w:val="0"/>
      <w:marTop w:val="0"/>
      <w:marBottom w:val="0"/>
      <w:divBdr>
        <w:top w:val="none" w:sz="0" w:space="0" w:color="auto"/>
        <w:left w:val="none" w:sz="0" w:space="0" w:color="auto"/>
        <w:bottom w:val="none" w:sz="0" w:space="0" w:color="auto"/>
        <w:right w:val="none" w:sz="0" w:space="0" w:color="auto"/>
      </w:divBdr>
    </w:div>
    <w:div w:id="1641375012">
      <w:bodyDiv w:val="1"/>
      <w:marLeft w:val="0"/>
      <w:marRight w:val="0"/>
      <w:marTop w:val="0"/>
      <w:marBottom w:val="0"/>
      <w:divBdr>
        <w:top w:val="none" w:sz="0" w:space="0" w:color="auto"/>
        <w:left w:val="none" w:sz="0" w:space="0" w:color="auto"/>
        <w:bottom w:val="none" w:sz="0" w:space="0" w:color="auto"/>
        <w:right w:val="none" w:sz="0" w:space="0" w:color="auto"/>
      </w:divBdr>
    </w:div>
    <w:div w:id="1648582056">
      <w:bodyDiv w:val="1"/>
      <w:marLeft w:val="0"/>
      <w:marRight w:val="0"/>
      <w:marTop w:val="0"/>
      <w:marBottom w:val="0"/>
      <w:divBdr>
        <w:top w:val="none" w:sz="0" w:space="0" w:color="auto"/>
        <w:left w:val="none" w:sz="0" w:space="0" w:color="auto"/>
        <w:bottom w:val="none" w:sz="0" w:space="0" w:color="auto"/>
        <w:right w:val="none" w:sz="0" w:space="0" w:color="auto"/>
      </w:divBdr>
    </w:div>
    <w:div w:id="1663856048">
      <w:bodyDiv w:val="1"/>
      <w:marLeft w:val="0"/>
      <w:marRight w:val="0"/>
      <w:marTop w:val="0"/>
      <w:marBottom w:val="0"/>
      <w:divBdr>
        <w:top w:val="none" w:sz="0" w:space="0" w:color="auto"/>
        <w:left w:val="none" w:sz="0" w:space="0" w:color="auto"/>
        <w:bottom w:val="none" w:sz="0" w:space="0" w:color="auto"/>
        <w:right w:val="none" w:sz="0" w:space="0" w:color="auto"/>
      </w:divBdr>
    </w:div>
    <w:div w:id="1671055063">
      <w:bodyDiv w:val="1"/>
      <w:marLeft w:val="0"/>
      <w:marRight w:val="0"/>
      <w:marTop w:val="0"/>
      <w:marBottom w:val="0"/>
      <w:divBdr>
        <w:top w:val="none" w:sz="0" w:space="0" w:color="auto"/>
        <w:left w:val="none" w:sz="0" w:space="0" w:color="auto"/>
        <w:bottom w:val="none" w:sz="0" w:space="0" w:color="auto"/>
        <w:right w:val="none" w:sz="0" w:space="0" w:color="auto"/>
      </w:divBdr>
    </w:div>
    <w:div w:id="1700474911">
      <w:bodyDiv w:val="1"/>
      <w:marLeft w:val="0"/>
      <w:marRight w:val="0"/>
      <w:marTop w:val="0"/>
      <w:marBottom w:val="0"/>
      <w:divBdr>
        <w:top w:val="none" w:sz="0" w:space="0" w:color="auto"/>
        <w:left w:val="none" w:sz="0" w:space="0" w:color="auto"/>
        <w:bottom w:val="none" w:sz="0" w:space="0" w:color="auto"/>
        <w:right w:val="none" w:sz="0" w:space="0" w:color="auto"/>
      </w:divBdr>
    </w:div>
    <w:div w:id="1789928722">
      <w:bodyDiv w:val="1"/>
      <w:marLeft w:val="0"/>
      <w:marRight w:val="0"/>
      <w:marTop w:val="0"/>
      <w:marBottom w:val="0"/>
      <w:divBdr>
        <w:top w:val="none" w:sz="0" w:space="0" w:color="auto"/>
        <w:left w:val="none" w:sz="0" w:space="0" w:color="auto"/>
        <w:bottom w:val="none" w:sz="0" w:space="0" w:color="auto"/>
        <w:right w:val="none" w:sz="0" w:space="0" w:color="auto"/>
      </w:divBdr>
    </w:div>
    <w:div w:id="1843352172">
      <w:bodyDiv w:val="1"/>
      <w:marLeft w:val="0"/>
      <w:marRight w:val="0"/>
      <w:marTop w:val="0"/>
      <w:marBottom w:val="0"/>
      <w:divBdr>
        <w:top w:val="none" w:sz="0" w:space="0" w:color="auto"/>
        <w:left w:val="none" w:sz="0" w:space="0" w:color="auto"/>
        <w:bottom w:val="none" w:sz="0" w:space="0" w:color="auto"/>
        <w:right w:val="none" w:sz="0" w:space="0" w:color="auto"/>
      </w:divBdr>
    </w:div>
    <w:div w:id="1875341301">
      <w:bodyDiv w:val="1"/>
      <w:marLeft w:val="0"/>
      <w:marRight w:val="0"/>
      <w:marTop w:val="0"/>
      <w:marBottom w:val="0"/>
      <w:divBdr>
        <w:top w:val="none" w:sz="0" w:space="0" w:color="auto"/>
        <w:left w:val="none" w:sz="0" w:space="0" w:color="auto"/>
        <w:bottom w:val="none" w:sz="0" w:space="0" w:color="auto"/>
        <w:right w:val="none" w:sz="0" w:space="0" w:color="auto"/>
      </w:divBdr>
      <w:divsChild>
        <w:div w:id="524514643">
          <w:marLeft w:val="0"/>
          <w:marRight w:val="0"/>
          <w:marTop w:val="0"/>
          <w:marBottom w:val="0"/>
          <w:divBdr>
            <w:top w:val="none" w:sz="0" w:space="0" w:color="auto"/>
            <w:left w:val="none" w:sz="0" w:space="0" w:color="auto"/>
            <w:bottom w:val="none" w:sz="0" w:space="0" w:color="auto"/>
            <w:right w:val="none" w:sz="0" w:space="0" w:color="auto"/>
          </w:divBdr>
        </w:div>
      </w:divsChild>
    </w:div>
    <w:div w:id="1966424479">
      <w:bodyDiv w:val="1"/>
      <w:marLeft w:val="0"/>
      <w:marRight w:val="0"/>
      <w:marTop w:val="0"/>
      <w:marBottom w:val="0"/>
      <w:divBdr>
        <w:top w:val="none" w:sz="0" w:space="0" w:color="auto"/>
        <w:left w:val="none" w:sz="0" w:space="0" w:color="auto"/>
        <w:bottom w:val="none" w:sz="0" w:space="0" w:color="auto"/>
        <w:right w:val="none" w:sz="0" w:space="0" w:color="auto"/>
      </w:divBdr>
    </w:div>
    <w:div w:id="2002658938">
      <w:bodyDiv w:val="1"/>
      <w:marLeft w:val="0"/>
      <w:marRight w:val="0"/>
      <w:marTop w:val="0"/>
      <w:marBottom w:val="0"/>
      <w:divBdr>
        <w:top w:val="none" w:sz="0" w:space="0" w:color="auto"/>
        <w:left w:val="none" w:sz="0" w:space="0" w:color="auto"/>
        <w:bottom w:val="none" w:sz="0" w:space="0" w:color="auto"/>
        <w:right w:val="none" w:sz="0" w:space="0" w:color="auto"/>
      </w:divBdr>
    </w:div>
    <w:div w:id="2032560898">
      <w:bodyDiv w:val="1"/>
      <w:marLeft w:val="0"/>
      <w:marRight w:val="0"/>
      <w:marTop w:val="0"/>
      <w:marBottom w:val="0"/>
      <w:divBdr>
        <w:top w:val="none" w:sz="0" w:space="0" w:color="auto"/>
        <w:left w:val="none" w:sz="0" w:space="0" w:color="auto"/>
        <w:bottom w:val="none" w:sz="0" w:space="0" w:color="auto"/>
        <w:right w:val="none" w:sz="0" w:space="0" w:color="auto"/>
      </w:divBdr>
    </w:div>
    <w:div w:id="2047873491">
      <w:bodyDiv w:val="1"/>
      <w:marLeft w:val="0"/>
      <w:marRight w:val="0"/>
      <w:marTop w:val="0"/>
      <w:marBottom w:val="0"/>
      <w:divBdr>
        <w:top w:val="none" w:sz="0" w:space="0" w:color="auto"/>
        <w:left w:val="none" w:sz="0" w:space="0" w:color="auto"/>
        <w:bottom w:val="none" w:sz="0" w:space="0" w:color="auto"/>
        <w:right w:val="none" w:sz="0" w:space="0" w:color="auto"/>
      </w:divBdr>
    </w:div>
    <w:div w:id="2058897026">
      <w:bodyDiv w:val="1"/>
      <w:marLeft w:val="0"/>
      <w:marRight w:val="0"/>
      <w:marTop w:val="0"/>
      <w:marBottom w:val="0"/>
      <w:divBdr>
        <w:top w:val="none" w:sz="0" w:space="0" w:color="auto"/>
        <w:left w:val="none" w:sz="0" w:space="0" w:color="auto"/>
        <w:bottom w:val="none" w:sz="0" w:space="0" w:color="auto"/>
        <w:right w:val="none" w:sz="0" w:space="0" w:color="auto"/>
      </w:divBdr>
    </w:div>
    <w:div w:id="2059553440">
      <w:bodyDiv w:val="1"/>
      <w:marLeft w:val="0"/>
      <w:marRight w:val="0"/>
      <w:marTop w:val="0"/>
      <w:marBottom w:val="0"/>
      <w:divBdr>
        <w:top w:val="none" w:sz="0" w:space="0" w:color="auto"/>
        <w:left w:val="none" w:sz="0" w:space="0" w:color="auto"/>
        <w:bottom w:val="none" w:sz="0" w:space="0" w:color="auto"/>
        <w:right w:val="none" w:sz="0" w:space="0" w:color="auto"/>
      </w:divBdr>
    </w:div>
    <w:div w:id="209114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ces.ed.gov/programs/edge/docs/EDGE_NCES_LOCALE.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dbhds.virginia.gov/assets/doc/BH/oss/CSBOverviewMar2018.pdf" TargetMode="External"/><Relationship Id="rId2" Type="http://schemas.openxmlformats.org/officeDocument/2006/relationships/hyperlink" Target="https://mcdc.missouri.edu/applications/geocorr2018.html" TargetMode="External"/><Relationship Id="rId1" Type="http://schemas.openxmlformats.org/officeDocument/2006/relationships/hyperlink" Target="https://data.census.gov/cedsci/" TargetMode="External"/><Relationship Id="rId4" Type="http://schemas.openxmlformats.org/officeDocument/2006/relationships/hyperlink" Target="https://data.census.gov/ceds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4" ma:contentTypeDescription="Create a new document." ma:contentTypeScope="" ma:versionID="947ea3b082ecd53042dad51d77ff458f">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24151f03b25be580b74600f3318cecf0"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ed1c205-4000-4339-bb14-f32bdcd7919d}"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documentManagement>
</p:properties>
</file>

<file path=customXml/itemProps1.xml><?xml version="1.0" encoding="utf-8"?>
<ds:datastoreItem xmlns:ds="http://schemas.openxmlformats.org/officeDocument/2006/customXml" ds:itemID="{DF458164-6CEE-4B92-9E2E-5C7D1B20375A}">
  <ds:schemaRefs>
    <ds:schemaRef ds:uri="http://schemas.openxmlformats.org/officeDocument/2006/bibliography"/>
  </ds:schemaRefs>
</ds:datastoreItem>
</file>

<file path=customXml/itemProps2.xml><?xml version="1.0" encoding="utf-8"?>
<ds:datastoreItem xmlns:ds="http://schemas.openxmlformats.org/officeDocument/2006/customXml" ds:itemID="{362C34A3-B5CC-43FB-AC98-35B5D7D3C67A}"/>
</file>

<file path=customXml/itemProps3.xml><?xml version="1.0" encoding="utf-8"?>
<ds:datastoreItem xmlns:ds="http://schemas.openxmlformats.org/officeDocument/2006/customXml" ds:itemID="{80D4A36D-1B96-4CCF-97E5-A2C0D06E5979}"/>
</file>

<file path=customXml/itemProps4.xml><?xml version="1.0" encoding="utf-8"?>
<ds:datastoreItem xmlns:ds="http://schemas.openxmlformats.org/officeDocument/2006/customXml" ds:itemID="{BB5FBAD2-000C-454C-951F-439F1ECEB2B1}"/>
</file>

<file path=docProps/app.xml><?xml version="1.0" encoding="utf-8"?>
<Properties xmlns="http://schemas.openxmlformats.org/officeDocument/2006/extended-properties" xmlns:vt="http://schemas.openxmlformats.org/officeDocument/2006/docPropsVTypes">
  <Template>Normal.dotm</Template>
  <TotalTime>22</TotalTime>
  <Pages>11</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Orndahl</dc:creator>
  <cp:keywords/>
  <dc:description/>
  <cp:lastModifiedBy>Derek Chapman</cp:lastModifiedBy>
  <cp:revision>4</cp:revision>
  <dcterms:created xsi:type="dcterms:W3CDTF">2021-08-07T14:38:00Z</dcterms:created>
  <dcterms:modified xsi:type="dcterms:W3CDTF">2021-08-07T14:57:00Z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0x010100649F93569CE05147B21C5A18A2874FDD</vt:lpwstr>
  </property>
</Properties>
</file>